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adjustRightInd w:val="0"/>
        <w:snapToGrid w:val="0"/>
        <w:ind w:left="634" w:hanging="637" w:hangingChars="122"/>
        <w:jc w:val="center"/>
        <w:rPr>
          <w:rFonts w:ascii="Times New Roman" w:hAnsi="Times New Roman" w:eastAsia="仿宋" w:cs="Times New Roman"/>
          <w:b/>
          <w:bCs/>
          <w:sz w:val="52"/>
          <w:szCs w:val="52"/>
        </w:rPr>
      </w:pPr>
    </w:p>
    <w:p>
      <w:pPr>
        <w:widowControl/>
        <w:adjustRightInd w:val="0"/>
        <w:snapToGrid w:val="0"/>
        <w:ind w:left="634" w:hanging="637" w:hangingChars="122"/>
        <w:jc w:val="center"/>
        <w:rPr>
          <w:rFonts w:ascii="Times New Roman" w:hAnsi="Times New Roman" w:eastAsia="仿宋" w:cs="Times New Roman"/>
          <w:b/>
          <w:bCs/>
          <w:sz w:val="52"/>
          <w:szCs w:val="52"/>
        </w:rPr>
      </w:pPr>
    </w:p>
    <w:p>
      <w:pPr>
        <w:widowControl/>
        <w:adjustRightInd w:val="0"/>
        <w:snapToGrid w:val="0"/>
        <w:ind w:firstLine="0" w:firstLineChars="0"/>
        <w:jc w:val="center"/>
        <w:rPr>
          <w:rFonts w:ascii="Times New Roman" w:hAnsi="Times New Roman" w:eastAsia="仿宋" w:cs="Times New Roman"/>
          <w:b/>
          <w:bCs/>
          <w:sz w:val="52"/>
          <w:szCs w:val="52"/>
        </w:rPr>
      </w:pPr>
      <w:r>
        <w:rPr>
          <w:rFonts w:ascii="Times New Roman" w:hAnsi="Times New Roman" w:eastAsia="仿宋" w:cs="Times New Roman"/>
          <w:b/>
          <w:bCs/>
          <w:sz w:val="52"/>
          <w:szCs w:val="52"/>
        </w:rPr>
        <w:t>西咸新区秦汉新城朝阳污水处理厂</w:t>
      </w:r>
    </w:p>
    <w:p>
      <w:pPr>
        <w:widowControl/>
        <w:adjustRightInd w:val="0"/>
        <w:snapToGrid w:val="0"/>
        <w:ind w:firstLine="0" w:firstLineChars="0"/>
        <w:jc w:val="center"/>
        <w:rPr>
          <w:rFonts w:ascii="Times New Roman" w:hAnsi="Times New Roman" w:eastAsia="仿宋" w:cs="Times New Roman"/>
          <w:b/>
          <w:bCs/>
          <w:sz w:val="52"/>
          <w:szCs w:val="52"/>
        </w:rPr>
      </w:pPr>
      <w:r>
        <w:rPr>
          <w:rFonts w:ascii="Times New Roman" w:hAnsi="Times New Roman" w:eastAsia="仿宋" w:cs="Times New Roman"/>
          <w:b/>
          <w:bCs/>
          <w:sz w:val="52"/>
          <w:szCs w:val="52"/>
        </w:rPr>
        <w:t>风险评估报告</w:t>
      </w:r>
    </w:p>
    <w:p>
      <w:pPr>
        <w:widowControl/>
        <w:adjustRightInd w:val="0"/>
        <w:snapToGrid w:val="0"/>
        <w:ind w:left="634" w:hanging="637" w:hangingChars="122"/>
        <w:jc w:val="center"/>
        <w:rPr>
          <w:rFonts w:ascii="Times New Roman" w:hAnsi="Times New Roman" w:eastAsia="仿宋" w:cs="Times New Roman"/>
          <w:b/>
          <w:bCs/>
          <w:sz w:val="52"/>
          <w:szCs w:val="52"/>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560"/>
        <w:rPr>
          <w:rFonts w:ascii="Times New Roman" w:hAnsi="Times New Roman" w:eastAsia="仿宋" w:cs="Times New Roman"/>
        </w:rPr>
      </w:pPr>
    </w:p>
    <w:p>
      <w:pPr>
        <w:ind w:firstLine="0" w:firstLineChars="0"/>
        <w:jc w:val="center"/>
        <w:rPr>
          <w:rFonts w:ascii="Times New Roman" w:hAnsi="Times New Roman" w:eastAsia="仿宋" w:cs="Times New Roman"/>
          <w:b/>
          <w:sz w:val="36"/>
          <w:szCs w:val="36"/>
        </w:rPr>
      </w:pPr>
      <w:r>
        <w:rPr>
          <w:rFonts w:hint="eastAsia" w:ascii="Times New Roman" w:hAnsi="Times New Roman" w:eastAsia="仿宋" w:cs="Times New Roman"/>
          <w:b/>
          <w:sz w:val="36"/>
          <w:szCs w:val="36"/>
        </w:rPr>
        <w:t>陕西西咸新区中天润博水务有限公司</w:t>
      </w:r>
    </w:p>
    <w:p>
      <w:pPr>
        <w:ind w:firstLine="0" w:firstLineChars="0"/>
        <w:jc w:val="center"/>
        <w:rPr>
          <w:rFonts w:ascii="Times New Roman" w:hAnsi="Times New Roman" w:eastAsia="仿宋" w:cs="Times New Roman"/>
          <w:b/>
          <w:bCs/>
          <w:sz w:val="36"/>
          <w:szCs w:val="36"/>
        </w:rPr>
      </w:pPr>
      <w:r>
        <w:rPr>
          <w:rFonts w:ascii="Times New Roman" w:hAnsi="Times New Roman" w:eastAsia="仿宋" w:cs="Times New Roman"/>
          <w:b/>
          <w:bCs/>
          <w:sz w:val="36"/>
          <w:szCs w:val="36"/>
        </w:rPr>
        <w:t>二〇一八年八月</w:t>
      </w:r>
    </w:p>
    <w:p>
      <w:pPr>
        <w:ind w:firstLine="0" w:firstLineChars="0"/>
        <w:jc w:val="center"/>
        <w:rPr>
          <w:rFonts w:ascii="Times New Roman" w:hAnsi="Times New Roman" w:eastAsia="仿宋" w:cs="Times New Roman"/>
          <w:b/>
          <w:bCs/>
          <w:sz w:val="36"/>
          <w:szCs w:val="36"/>
        </w:rPr>
      </w:pPr>
    </w:p>
    <w:p>
      <w:pPr>
        <w:pStyle w:val="3"/>
        <w:spacing w:line="360" w:lineRule="auto"/>
        <w:rPr>
          <w:sz w:val="36"/>
          <w:szCs w:val="36"/>
        </w:rPr>
        <w:sectPr>
          <w:headerReference r:id="rId5" w:type="first"/>
          <w:footerReference r:id="rId8" w:type="first"/>
          <w:headerReference r:id="rId3" w:type="default"/>
          <w:footerReference r:id="rId6" w:type="default"/>
          <w:headerReference r:id="rId4" w:type="even"/>
          <w:footerReference r:id="rId7" w:type="even"/>
          <w:pgSz w:w="11906" w:h="16838"/>
          <w:pgMar w:top="1417" w:right="1417" w:bottom="1417" w:left="1417" w:header="851" w:footer="992" w:gutter="0"/>
          <w:cols w:space="0" w:num="1"/>
          <w:docGrid w:type="lines" w:linePitch="389" w:charSpace="0"/>
        </w:sectPr>
      </w:pPr>
    </w:p>
    <w:p>
      <w:pPr>
        <w:ind w:firstLine="0" w:firstLineChars="0"/>
        <w:jc w:val="center"/>
        <w:rPr>
          <w:rFonts w:ascii="Times New Roman" w:hAnsi="Times New Roman" w:eastAsia="仿宋" w:cs="Times New Roman"/>
          <w:b/>
          <w:bCs/>
          <w:szCs w:val="28"/>
        </w:rPr>
      </w:pPr>
      <w:r>
        <w:rPr>
          <w:rFonts w:ascii="Times New Roman" w:hAnsi="Times New Roman" w:eastAsia="仿宋" w:cs="Times New Roman"/>
          <w:b/>
          <w:bCs/>
          <w:szCs w:val="28"/>
        </w:rPr>
        <w:t>目 录</w:t>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TOC \o "1-3" \h \u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_Toc13867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1前言</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_Toc13867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_Toc30096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2总则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_Toc30096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_Toc27184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2.1编制原则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_Toc27184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_Toc19926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2.2编制依据</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_Toc19926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_Toc4224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2.2.1法律法规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_Toc4224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_Toc10529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2.2.2规章制度</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_Toc10529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_Toc278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2.2.3相关标准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_Toc278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_Toc2206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2.2.4其他资料</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_Toc2206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_Toc9473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2.3企业突发环境事件风险评估程序</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_Toc9473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_Toc21331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3资料准备与环境风险识别</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_Toc21331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_Toc10396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3.1项目基本信息</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_Toc10396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_Toc2036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3.1.1项目简介</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_Toc3204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3.1.2生产过程产污环节分析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_Toc3204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_Toc5752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3.2企业周边环境风险受体情况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_Toc5752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_Toc29536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3.3工艺流程及设备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_Toc29536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_Toc26451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3.3.1工艺流程</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_Toc26451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_Toc15019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3.3.2生产设备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_Toc15019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_Toc1404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3.3.3主要建设内容</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_Toc1404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_Toc18857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3.5安全生产管理</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_Toc18857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_Toc29111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3.6现有环境风险防控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_Toc29111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_Toc6250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3.6.1防治措施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_Toc6250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_Toc18285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3.7现有应急物资与装备、救援队伍情况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_Toc18285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_Toc4609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3.7.1现有应急物资与装备</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_Toc4609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_Toc10397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3.7.2 应急救援队伍</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_Toc10397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_Toc18993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4突发环境事件及其后果分析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_Toc18993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_Toc7143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4.1 突发环境事件情景分析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_Toc7143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_Toc3935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4.1.1 国内同类企业突发环境事件案例</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_Toc3935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19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_Toc5980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bCs/>
          <w:sz w:val="24"/>
          <w:szCs w:val="24"/>
        </w:rPr>
        <w:t>4.2环境风险源分析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_Toc5980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_Toc17321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4.2.1 风险源识别范围及类型分析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_Toc17321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_Toc28584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bCs/>
          <w:sz w:val="24"/>
          <w:szCs w:val="24"/>
        </w:rPr>
        <w:t>4.3最大可信事故</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_Toc28584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_Toc8171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4.3.1水环境影响分析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_Toc8171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_Toc23949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4.3.2大气环境影响分析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_Toc23949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_Toc14289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4.3.3生态环境影响分析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_Toc14289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_Toc13370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5现有环境风险防控和应急措施差距分析</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_Toc13370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_Toc3922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5.1环境风险防控和应急措施制度建设情况</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_Toc3922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_Toc30524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5.2现有风险防控和应急措施</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_Toc30524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_Toc21851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5.3环境应急物资</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_Toc21851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1"/>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_Toc13597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5.4需要整改的短期、中期和长期项目内容</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_Toc13597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25</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_Toc13418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6完善环境风险防控和应急措施的实施计划</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_Toc13418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26</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_Toc29686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7突发大气环境事件风险分级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_Toc29686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_Toc29034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7.1计算涉气风险物质数量与临界量比值（Q）</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_Toc29034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27</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_Toc10100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8突发水环境事件风险分级</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_Toc10100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_Toc4629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8.1计算涉水风险物质数量与临界量比值（Q）</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_Toc4629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29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_Toc9251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9突发环境事件风险等级确定</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_Toc9251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6"/>
        <w:keepNext w:val="0"/>
        <w:keepLines w:val="0"/>
        <w:pageBreakBefore w:val="0"/>
        <w:widowControl w:val="0"/>
        <w:tabs>
          <w:tab w:val="right" w:leader="dot" w:pos="9072"/>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_Toc20378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9.1风险等级确定</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_Toc20378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_Toc25087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附件一：内部应急联络电话</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_Toc25087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32</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_Toc32615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附件二：外部救援联系方式</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_Toc32615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_Toc12439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附件三：应急物资和设备统计表</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_Toc12439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33</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_Toc11073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附件四：危废处置合同</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_Toc11073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34</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_Toc20809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附件五：四邻关系图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_Toc20809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38</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_Toc6923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附件六：厂区平面图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_Toc6923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39</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_Toc20579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附件七：地理位置图</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_Toc20579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40</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pStyle w:val="14"/>
        <w:keepNext w:val="0"/>
        <w:keepLines w:val="0"/>
        <w:pageBreakBefore w:val="0"/>
        <w:widowControl w:val="0"/>
        <w:tabs>
          <w:tab w:val="right" w:leader="dot" w:pos="9072"/>
          <w:tab w:val="clear" w:pos="9015"/>
        </w:tabs>
        <w:kinsoku/>
        <w:wordWrap/>
        <w:overflowPunct/>
        <w:topLinePunct w:val="0"/>
        <w:autoSpaceDE/>
        <w:autoSpaceDN/>
        <w:bidi w:val="0"/>
        <w:adjustRightInd/>
        <w:snapToGrid/>
        <w:spacing w:line="500" w:lineRule="exact"/>
        <w:textAlignment w:val="auto"/>
        <w:outlineLvl w:val="9"/>
        <w:rPr>
          <w:rFonts w:hint="default" w:ascii="Times New Roman" w:hAnsi="Times New Roman" w:eastAsia="仿宋" w:cs="Times New Roman"/>
          <w:sz w:val="24"/>
          <w:szCs w:val="24"/>
        </w:rPr>
      </w:pP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HYPERLINK \l _Toc26100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附件八：应急救援体系响应程序</w:t>
      </w:r>
      <w:r>
        <w:rPr>
          <w:rFonts w:hint="default" w:ascii="Times New Roman" w:hAnsi="Times New Roman" w:eastAsia="仿宋" w:cs="Times New Roman"/>
          <w:sz w:val="24"/>
          <w:szCs w:val="24"/>
        </w:rPr>
        <w:tab/>
      </w:r>
      <w:r>
        <w:rPr>
          <w:rFonts w:hint="default" w:ascii="Times New Roman" w:hAnsi="Times New Roman" w:eastAsia="仿宋" w:cs="Times New Roman"/>
          <w:sz w:val="24"/>
          <w:szCs w:val="24"/>
        </w:rPr>
        <w:fldChar w:fldCharType="begin"/>
      </w:r>
      <w:r>
        <w:rPr>
          <w:rFonts w:hint="default" w:ascii="Times New Roman" w:hAnsi="Times New Roman" w:eastAsia="仿宋" w:cs="Times New Roman"/>
          <w:sz w:val="24"/>
          <w:szCs w:val="24"/>
        </w:rPr>
        <w:instrText xml:space="preserve"> PAGEREF _Toc26100 </w:instrText>
      </w:r>
      <w:r>
        <w:rPr>
          <w:rFonts w:hint="default" w:ascii="Times New Roman" w:hAnsi="Times New Roman" w:eastAsia="仿宋" w:cs="Times New Roman"/>
          <w:sz w:val="24"/>
          <w:szCs w:val="24"/>
        </w:rPr>
        <w:fldChar w:fldCharType="separate"/>
      </w:r>
      <w:r>
        <w:rPr>
          <w:rFonts w:hint="default" w:ascii="Times New Roman" w:hAnsi="Times New Roman" w:eastAsia="仿宋" w:cs="Times New Roman"/>
          <w:sz w:val="24"/>
          <w:szCs w:val="24"/>
        </w:rPr>
        <w:t>41</w:t>
      </w:r>
      <w:r>
        <w:rPr>
          <w:rFonts w:hint="default" w:ascii="Times New Roman" w:hAnsi="Times New Roman" w:eastAsia="仿宋" w:cs="Times New Roman"/>
          <w:sz w:val="24"/>
          <w:szCs w:val="24"/>
        </w:rPr>
        <w:fldChar w:fldCharType="end"/>
      </w:r>
      <w:r>
        <w:rPr>
          <w:rFonts w:hint="default" w:ascii="Times New Roman" w:hAnsi="Times New Roman" w:eastAsia="仿宋" w:cs="Times New Roman"/>
          <w:sz w:val="24"/>
          <w:szCs w:val="24"/>
        </w:rPr>
        <w:fldChar w:fldCharType="end"/>
      </w:r>
    </w:p>
    <w:p>
      <w:pPr>
        <w:keepNext w:val="0"/>
        <w:keepLines w:val="0"/>
        <w:pageBreakBefore w:val="0"/>
        <w:widowControl w:val="0"/>
        <w:kinsoku/>
        <w:wordWrap/>
        <w:overflowPunct/>
        <w:topLinePunct w:val="0"/>
        <w:autoSpaceDE/>
        <w:autoSpaceDN/>
        <w:bidi w:val="0"/>
        <w:adjustRightInd/>
        <w:snapToGrid/>
        <w:spacing w:line="500" w:lineRule="exact"/>
        <w:ind w:firstLine="0" w:firstLineChars="0"/>
        <w:jc w:val="both"/>
        <w:textAlignment w:val="auto"/>
        <w:outlineLvl w:val="9"/>
        <w:rPr>
          <w:rFonts w:ascii="Times New Roman" w:hAnsi="Times New Roman" w:eastAsia="仿宋" w:cs="Times New Roman"/>
          <w:sz w:val="24"/>
          <w:szCs w:val="24"/>
        </w:rPr>
        <w:sectPr>
          <w:footerReference r:id="rId9" w:type="default"/>
          <w:pgSz w:w="11906" w:h="16838"/>
          <w:pgMar w:top="1417" w:right="1417" w:bottom="1417" w:left="1417" w:header="851" w:footer="992" w:gutter="0"/>
          <w:pgNumType w:start="1"/>
          <w:cols w:space="0" w:num="1"/>
          <w:docGrid w:type="lines" w:linePitch="389" w:charSpace="0"/>
        </w:sectPr>
      </w:pPr>
      <w:r>
        <w:rPr>
          <w:rFonts w:hint="default" w:ascii="Times New Roman" w:hAnsi="Times New Roman" w:eastAsia="仿宋" w:cs="Times New Roman"/>
          <w:sz w:val="24"/>
          <w:szCs w:val="24"/>
        </w:rPr>
        <w:fldChar w:fldCharType="end"/>
      </w:r>
    </w:p>
    <w:p>
      <w:pPr>
        <w:pStyle w:val="3"/>
        <w:spacing w:line="360" w:lineRule="auto"/>
      </w:pPr>
      <w:bookmarkStart w:id="0" w:name="_Toc13867"/>
      <w:r>
        <w:t>1前言</w:t>
      </w:r>
      <w:bookmarkEnd w:id="0"/>
    </w:p>
    <w:p>
      <w:pPr>
        <w:ind w:firstLine="560"/>
        <w:rPr>
          <w:rFonts w:ascii="Times New Roman" w:hAnsi="Times New Roman" w:eastAsia="仿宋" w:cs="Times New Roman"/>
        </w:rPr>
      </w:pPr>
      <w:r>
        <w:rPr>
          <w:rFonts w:ascii="Times New Roman" w:hAnsi="Times New Roman" w:eastAsia="仿宋" w:cs="Times New Roman"/>
        </w:rPr>
        <w:t>所谓环境风险是指突</w:t>
      </w:r>
      <w:bookmarkStart w:id="304" w:name="_GoBack"/>
      <w:bookmarkEnd w:id="304"/>
      <w:r>
        <w:rPr>
          <w:rFonts w:ascii="Times New Roman" w:hAnsi="Times New Roman" w:eastAsia="仿宋" w:cs="Times New Roman"/>
        </w:rPr>
        <w:t>发性灾难事故造成重大环境污染的事件，它具有危害性大、影响范围广等特点，同时风险发生的概率又有很大的不确定性，倘若一旦发生，其破坏性极强，对生态环境会产生严重破坏。</w:t>
      </w:r>
    </w:p>
    <w:p>
      <w:pPr>
        <w:ind w:firstLine="560"/>
        <w:rPr>
          <w:rFonts w:ascii="Times New Roman" w:hAnsi="Times New Roman" w:eastAsia="仿宋" w:cs="Times New Roman"/>
        </w:rPr>
      </w:pPr>
      <w:r>
        <w:rPr>
          <w:rFonts w:ascii="Times New Roman" w:hAnsi="Times New Roman" w:eastAsia="仿宋" w:cs="Times New Roman"/>
        </w:rPr>
        <w:t>环境风险评估的目的是分析和预测建设项目存在的潜在危险、有害因素，建设项目建设和运行期间可能发生的突发性事件或事故（一般不包括人为破坏及自然灾害），引起有毒有害和易燃易爆等物质泄漏，所造成的人身安全与环境影响和损害程度，提出合理可行的防范、应急与减缓措施，使建设项目事故率、损失率和环境影响能够达到可接受水平。在评估中把事故引起厂界外人群的伤害、环境质量的恶化以及防护作为评价重点，关注事故对厂界外环境的影响。</w:t>
      </w:r>
    </w:p>
    <w:p>
      <w:pPr>
        <w:ind w:firstLine="560"/>
        <w:rPr>
          <w:rFonts w:ascii="Times New Roman" w:hAnsi="Times New Roman" w:eastAsia="仿宋" w:cs="Times New Roman"/>
        </w:rPr>
      </w:pPr>
      <w:r>
        <w:rPr>
          <w:rFonts w:ascii="Times New Roman" w:hAnsi="Times New Roman" w:eastAsia="仿宋" w:cs="Times New Roman"/>
        </w:rPr>
        <w:t>根据陕西省关于印发《企业事业单位突发环境事件应急预案备案管理办法（试行）》的通知，</w:t>
      </w:r>
      <w:r>
        <w:rPr>
          <w:rFonts w:ascii="Times New Roman" w:hAnsi="Times New Roman" w:cs="Times New Roman"/>
          <w:szCs w:val="28"/>
        </w:rPr>
        <w:t>西咸新区秦汉新城朝阳污水处理厂</w:t>
      </w:r>
      <w:r>
        <w:rPr>
          <w:rFonts w:ascii="Times New Roman" w:hAnsi="Times New Roman" w:eastAsia="仿宋" w:cs="Times New Roman"/>
        </w:rPr>
        <w:t>需开展环境风险评估，通过分析各类事故衍化规律、自然灾害影响程度，识别环境危害因素，分析与周边可能受影响的居民、单位、区域环境的关系，构建突发环境事件及其后果情景，确定环境风险等级。</w:t>
      </w:r>
    </w:p>
    <w:p>
      <w:pPr>
        <w:ind w:firstLine="560"/>
        <w:rPr>
          <w:rFonts w:ascii="Times New Roman" w:hAnsi="Times New Roman" w:eastAsia="仿宋" w:cs="Times New Roman"/>
        </w:rPr>
      </w:pPr>
      <w:r>
        <w:rPr>
          <w:rFonts w:ascii="Times New Roman" w:hAnsi="Times New Roman" w:eastAsia="仿宋" w:cs="Times New Roman"/>
        </w:rPr>
        <w:br w:type="page"/>
      </w:r>
    </w:p>
    <w:p>
      <w:pPr>
        <w:pStyle w:val="3"/>
        <w:spacing w:line="360" w:lineRule="auto"/>
      </w:pPr>
      <w:bookmarkStart w:id="1" w:name="_Toc30096"/>
      <w:r>
        <w:t>2总则</w:t>
      </w:r>
      <w:bookmarkEnd w:id="1"/>
    </w:p>
    <w:p>
      <w:pPr>
        <w:pStyle w:val="2"/>
        <w:spacing w:line="360" w:lineRule="auto"/>
      </w:pPr>
      <w:bookmarkStart w:id="2" w:name="_Toc8443"/>
      <w:bookmarkStart w:id="3" w:name="_Toc5092"/>
      <w:bookmarkStart w:id="4" w:name="_Toc12563"/>
      <w:bookmarkStart w:id="5" w:name="_Toc15640"/>
      <w:bookmarkStart w:id="6" w:name="_Toc27184"/>
      <w:r>
        <w:t>2.1编制原则</w:t>
      </w:r>
      <w:bookmarkEnd w:id="2"/>
      <w:bookmarkEnd w:id="3"/>
      <w:bookmarkEnd w:id="4"/>
      <w:bookmarkEnd w:id="5"/>
      <w:bookmarkEnd w:id="6"/>
    </w:p>
    <w:p>
      <w:pPr>
        <w:ind w:firstLine="560"/>
        <w:rPr>
          <w:rFonts w:ascii="Times New Roman" w:hAnsi="Times New Roman" w:eastAsia="仿宋" w:cs="Times New Roman"/>
        </w:rPr>
      </w:pPr>
      <w:r>
        <w:rPr>
          <w:rFonts w:ascii="Times New Roman" w:hAnsi="Times New Roman" w:eastAsia="仿宋" w:cs="Times New Roman"/>
        </w:rPr>
        <w:t>企业突发环境事件风险评估报告是对企业突发环境事件评估过程和结果的总体描述，是提供环境管理与风险决策的重要依据。报告编制应体现科学性、规范性、客观性和真实性的原则。</w:t>
      </w:r>
    </w:p>
    <w:p>
      <w:pPr>
        <w:pStyle w:val="2"/>
        <w:spacing w:line="360" w:lineRule="auto"/>
      </w:pPr>
      <w:bookmarkStart w:id="7" w:name="_Toc19926"/>
      <w:r>
        <w:t>2.2编制依据</w:t>
      </w:r>
      <w:bookmarkEnd w:id="7"/>
    </w:p>
    <w:p>
      <w:pPr>
        <w:pStyle w:val="5"/>
        <w:keepNext w:val="0"/>
        <w:keepLines w:val="0"/>
        <w:spacing w:line="360" w:lineRule="auto"/>
        <w:ind w:left="0" w:leftChars="0"/>
        <w:rPr>
          <w:szCs w:val="28"/>
        </w:rPr>
      </w:pPr>
      <w:bookmarkStart w:id="8" w:name="_Toc24186"/>
      <w:bookmarkStart w:id="9" w:name="_Toc29733"/>
      <w:bookmarkStart w:id="10" w:name="_Toc16869"/>
      <w:bookmarkStart w:id="11" w:name="_Toc26831"/>
      <w:bookmarkStart w:id="12" w:name="_Toc4224"/>
      <w:r>
        <w:rPr>
          <w:szCs w:val="28"/>
        </w:rPr>
        <w:t>2.2.1法律法规</w:t>
      </w:r>
      <w:bookmarkEnd w:id="8"/>
      <w:bookmarkEnd w:id="9"/>
      <w:bookmarkEnd w:id="10"/>
      <w:bookmarkEnd w:id="11"/>
      <w:bookmarkEnd w:id="12"/>
    </w:p>
    <w:p>
      <w:pPr>
        <w:ind w:firstLine="560"/>
        <w:jc w:val="both"/>
        <w:rPr>
          <w:rFonts w:ascii="Times New Roman" w:hAnsi="Times New Roman" w:eastAsia="仿宋" w:cs="Times New Roman"/>
          <w:szCs w:val="28"/>
        </w:rPr>
      </w:pPr>
      <w:bookmarkStart w:id="13" w:name="_Toc16163"/>
      <w:bookmarkStart w:id="14" w:name="_Toc24871"/>
      <w:bookmarkStart w:id="15" w:name="_Toc20918"/>
      <w:bookmarkStart w:id="16" w:name="_Toc15103"/>
      <w:bookmarkStart w:id="17" w:name="_Toc5928"/>
      <w:bookmarkStart w:id="18" w:name="_Toc28348"/>
      <w:bookmarkStart w:id="19" w:name="_Toc16102"/>
      <w:bookmarkStart w:id="20" w:name="_Toc13425"/>
      <w:r>
        <w:rPr>
          <w:rFonts w:ascii="Times New Roman" w:hAnsi="Times New Roman" w:eastAsia="仿宋" w:cs="Times New Roman"/>
          <w:szCs w:val="28"/>
        </w:rPr>
        <w:t>（1）《中华人民共和国环境保护法》（2014年主席令第九号），2015年1月1日；</w:t>
      </w:r>
      <w:bookmarkEnd w:id="13"/>
      <w:bookmarkEnd w:id="14"/>
      <w:bookmarkEnd w:id="15"/>
      <w:bookmarkEnd w:id="16"/>
      <w:bookmarkEnd w:id="17"/>
      <w:bookmarkEnd w:id="18"/>
      <w:bookmarkEnd w:id="19"/>
      <w:bookmarkEnd w:id="20"/>
    </w:p>
    <w:p>
      <w:pPr>
        <w:ind w:firstLine="560"/>
        <w:jc w:val="both"/>
        <w:rPr>
          <w:rFonts w:ascii="Times New Roman" w:hAnsi="Times New Roman" w:eastAsia="仿宋" w:cs="Times New Roman"/>
          <w:szCs w:val="28"/>
        </w:rPr>
      </w:pPr>
      <w:bookmarkStart w:id="21" w:name="_Toc12928"/>
      <w:bookmarkStart w:id="22" w:name="_Toc7699"/>
      <w:bookmarkStart w:id="23" w:name="_Toc18480"/>
      <w:bookmarkStart w:id="24" w:name="_Toc20569"/>
      <w:bookmarkStart w:id="25" w:name="_Toc3081"/>
      <w:bookmarkStart w:id="26" w:name="_Toc31282"/>
      <w:bookmarkStart w:id="27" w:name="_Toc26459"/>
      <w:bookmarkStart w:id="28" w:name="_Toc5969"/>
      <w:r>
        <w:rPr>
          <w:rFonts w:ascii="Times New Roman" w:hAnsi="Times New Roman" w:eastAsia="仿宋" w:cs="Times New Roman"/>
          <w:szCs w:val="28"/>
        </w:rPr>
        <w:t>（2）《中华人民共和国水污染防治法》（2008年主席令第八十七号），2008年6月1日；</w:t>
      </w:r>
      <w:bookmarkEnd w:id="21"/>
      <w:bookmarkEnd w:id="22"/>
      <w:bookmarkEnd w:id="23"/>
      <w:bookmarkEnd w:id="24"/>
      <w:bookmarkEnd w:id="25"/>
      <w:bookmarkEnd w:id="26"/>
      <w:bookmarkEnd w:id="27"/>
      <w:bookmarkEnd w:id="28"/>
    </w:p>
    <w:p>
      <w:pPr>
        <w:ind w:firstLine="560"/>
        <w:jc w:val="both"/>
        <w:rPr>
          <w:rFonts w:ascii="Times New Roman" w:hAnsi="Times New Roman" w:eastAsia="仿宋" w:cs="Times New Roman"/>
        </w:rPr>
      </w:pPr>
      <w:r>
        <w:rPr>
          <w:rFonts w:ascii="Times New Roman" w:hAnsi="Times New Roman" w:eastAsia="仿宋" w:cs="Times New Roman"/>
          <w:szCs w:val="28"/>
        </w:rPr>
        <w:t>（3）《中华人民共和国大气污染防治法》（2015年主席令第三十一号），2016年1月1日；</w:t>
      </w:r>
    </w:p>
    <w:p>
      <w:pPr>
        <w:ind w:firstLine="560"/>
        <w:jc w:val="both"/>
        <w:rPr>
          <w:rFonts w:ascii="Times New Roman" w:hAnsi="Times New Roman" w:eastAsia="仿宋" w:cs="Times New Roman"/>
          <w:szCs w:val="28"/>
        </w:rPr>
      </w:pPr>
      <w:bookmarkStart w:id="29" w:name="_Toc909"/>
      <w:bookmarkStart w:id="30" w:name="_Toc9189"/>
      <w:bookmarkStart w:id="31" w:name="_Toc16680"/>
      <w:bookmarkStart w:id="32" w:name="_Toc28966"/>
      <w:bookmarkStart w:id="33" w:name="_Toc26703"/>
      <w:bookmarkStart w:id="34" w:name="_Toc3697"/>
      <w:bookmarkStart w:id="35" w:name="_Toc5066"/>
      <w:bookmarkStart w:id="36" w:name="_Toc20981"/>
      <w:r>
        <w:rPr>
          <w:rFonts w:ascii="Times New Roman" w:hAnsi="Times New Roman" w:eastAsia="仿宋" w:cs="Times New Roman"/>
          <w:szCs w:val="28"/>
        </w:rPr>
        <w:t>（4）《中华人民共和国固体废物污染环境防治法》，2016年11月</w:t>
      </w:r>
      <w:bookmarkEnd w:id="29"/>
      <w:bookmarkEnd w:id="30"/>
      <w:bookmarkEnd w:id="31"/>
      <w:bookmarkEnd w:id="32"/>
      <w:bookmarkEnd w:id="33"/>
      <w:bookmarkEnd w:id="34"/>
      <w:bookmarkEnd w:id="35"/>
      <w:bookmarkEnd w:id="36"/>
      <w:r>
        <w:rPr>
          <w:rFonts w:ascii="Times New Roman" w:hAnsi="Times New Roman" w:eastAsia="仿宋" w:cs="Times New Roman"/>
          <w:szCs w:val="28"/>
        </w:rPr>
        <w:t>；</w:t>
      </w:r>
    </w:p>
    <w:p>
      <w:pPr>
        <w:ind w:firstLine="560"/>
        <w:jc w:val="both"/>
        <w:rPr>
          <w:rFonts w:ascii="Times New Roman" w:hAnsi="Times New Roman" w:eastAsia="仿宋" w:cs="Times New Roman"/>
          <w:szCs w:val="28"/>
        </w:rPr>
      </w:pPr>
      <w:r>
        <w:rPr>
          <w:rFonts w:ascii="Times New Roman" w:hAnsi="Times New Roman" w:eastAsia="仿宋" w:cs="Times New Roman"/>
          <w:szCs w:val="28"/>
        </w:rPr>
        <w:t>（5）《中华人民共和国环境噪声污染防治法》（1996年主席令第77号），1997年3月1日；</w:t>
      </w:r>
    </w:p>
    <w:p>
      <w:pPr>
        <w:ind w:firstLine="560"/>
        <w:jc w:val="both"/>
        <w:rPr>
          <w:rFonts w:ascii="Times New Roman" w:hAnsi="Times New Roman" w:eastAsia="仿宋" w:cs="Times New Roman"/>
          <w:szCs w:val="28"/>
        </w:rPr>
      </w:pPr>
      <w:bookmarkStart w:id="37" w:name="_Toc3704"/>
      <w:bookmarkStart w:id="38" w:name="_Toc7266"/>
      <w:bookmarkStart w:id="39" w:name="_Toc16681"/>
      <w:bookmarkStart w:id="40" w:name="_Toc3773"/>
      <w:bookmarkStart w:id="41" w:name="_Toc8538"/>
      <w:bookmarkStart w:id="42" w:name="_Toc30442"/>
      <w:bookmarkStart w:id="43" w:name="_Toc22398"/>
      <w:r>
        <w:rPr>
          <w:rFonts w:ascii="Times New Roman" w:hAnsi="Times New Roman" w:eastAsia="仿宋" w:cs="Times New Roman"/>
          <w:szCs w:val="28"/>
        </w:rPr>
        <w:t>（6）《中华人民共和国突发事件应对法》（2007年主席令第六十九号），2007年11月1日；</w:t>
      </w:r>
      <w:bookmarkEnd w:id="37"/>
      <w:bookmarkEnd w:id="38"/>
      <w:bookmarkEnd w:id="39"/>
      <w:bookmarkEnd w:id="40"/>
      <w:bookmarkEnd w:id="41"/>
      <w:bookmarkEnd w:id="42"/>
      <w:bookmarkEnd w:id="43"/>
    </w:p>
    <w:p>
      <w:pPr>
        <w:ind w:firstLine="560"/>
        <w:jc w:val="both"/>
        <w:rPr>
          <w:rFonts w:ascii="Times New Roman" w:hAnsi="Times New Roman" w:eastAsia="仿宋" w:cs="Times New Roman"/>
          <w:szCs w:val="28"/>
        </w:rPr>
      </w:pPr>
      <w:r>
        <w:rPr>
          <w:rFonts w:ascii="Times New Roman" w:hAnsi="Times New Roman" w:eastAsia="仿宋" w:cs="Times New Roman"/>
          <w:szCs w:val="28"/>
        </w:rPr>
        <w:t>（7）《国家突发环境事件应急预案》（国办函〔2014〕119号），2014年12月29日。</w:t>
      </w:r>
    </w:p>
    <w:p>
      <w:pPr>
        <w:ind w:firstLine="560"/>
        <w:jc w:val="both"/>
        <w:rPr>
          <w:rFonts w:ascii="Times New Roman" w:hAnsi="Times New Roman" w:eastAsia="仿宋" w:cs="Times New Roman"/>
        </w:rPr>
      </w:pPr>
      <w:r>
        <w:rPr>
          <w:rFonts w:ascii="Times New Roman" w:hAnsi="Times New Roman" w:eastAsia="仿宋" w:cs="Times New Roman"/>
        </w:rPr>
        <w:t>（8）《咸阳市应急预案管理办法》；</w:t>
      </w:r>
    </w:p>
    <w:p>
      <w:pPr>
        <w:ind w:firstLine="560"/>
        <w:jc w:val="both"/>
        <w:rPr>
          <w:rFonts w:ascii="Times New Roman" w:hAnsi="Times New Roman" w:eastAsia="仿宋" w:cs="Times New Roman"/>
        </w:rPr>
      </w:pPr>
      <w:r>
        <w:rPr>
          <w:rFonts w:ascii="Times New Roman" w:hAnsi="Times New Roman" w:eastAsia="仿宋" w:cs="Times New Roman"/>
        </w:rPr>
        <w:t>（9）《咸阳市突发环境事件应急预案》；</w:t>
      </w:r>
    </w:p>
    <w:p>
      <w:pPr>
        <w:ind w:firstLine="560"/>
        <w:jc w:val="both"/>
        <w:rPr>
          <w:rFonts w:ascii="Times New Roman" w:hAnsi="Times New Roman" w:eastAsia="仿宋" w:cs="Times New Roman"/>
        </w:rPr>
      </w:pPr>
      <w:r>
        <w:rPr>
          <w:rFonts w:ascii="Times New Roman" w:hAnsi="Times New Roman" w:eastAsia="仿宋" w:cs="Times New Roman"/>
        </w:rPr>
        <w:t>（10）《中华人民共和国环境影响评价法》，2016年9月；</w:t>
      </w:r>
    </w:p>
    <w:p>
      <w:pPr>
        <w:ind w:firstLine="560"/>
        <w:rPr>
          <w:rFonts w:ascii="Times New Roman" w:hAnsi="Times New Roman" w:eastAsia="仿宋" w:cs="Times New Roman"/>
        </w:rPr>
      </w:pPr>
      <w:bookmarkStart w:id="44" w:name="_Toc31750"/>
      <w:bookmarkStart w:id="45" w:name="_Toc19431"/>
      <w:bookmarkStart w:id="46" w:name="_Toc20161"/>
      <w:r>
        <w:rPr>
          <w:rFonts w:ascii="Times New Roman" w:hAnsi="Times New Roman" w:eastAsia="仿宋" w:cs="Times New Roman"/>
        </w:rPr>
        <w:t>（11）《危险化学品重大危险源辨识》（GB18218-2009）；</w:t>
      </w:r>
    </w:p>
    <w:p>
      <w:pPr>
        <w:ind w:firstLine="560"/>
        <w:jc w:val="both"/>
        <w:rPr>
          <w:rFonts w:ascii="Times New Roman" w:hAnsi="Times New Roman" w:eastAsia="仿宋" w:cs="Times New Roman"/>
        </w:rPr>
      </w:pPr>
      <w:r>
        <w:rPr>
          <w:rFonts w:ascii="Times New Roman" w:hAnsi="Times New Roman" w:eastAsia="仿宋" w:cs="Times New Roman"/>
        </w:rPr>
        <w:t>（12）《突发环境事件应急监测技术规范》（HJ589-2010）。</w:t>
      </w:r>
    </w:p>
    <w:p>
      <w:pPr>
        <w:pStyle w:val="5"/>
        <w:keepNext w:val="0"/>
        <w:keepLines w:val="0"/>
        <w:spacing w:line="360" w:lineRule="auto"/>
        <w:ind w:left="0" w:leftChars="0"/>
        <w:rPr>
          <w:szCs w:val="28"/>
        </w:rPr>
      </w:pPr>
      <w:bookmarkStart w:id="47" w:name="_Toc10529"/>
      <w:r>
        <w:rPr>
          <w:szCs w:val="28"/>
        </w:rPr>
        <w:t>2.2.2规章制度</w:t>
      </w:r>
      <w:bookmarkEnd w:id="44"/>
      <w:bookmarkEnd w:id="45"/>
      <w:bookmarkEnd w:id="46"/>
      <w:bookmarkEnd w:id="47"/>
    </w:p>
    <w:p>
      <w:pPr>
        <w:ind w:firstLine="560"/>
        <w:jc w:val="both"/>
        <w:rPr>
          <w:rFonts w:ascii="Times New Roman" w:hAnsi="Times New Roman" w:eastAsia="仿宋" w:cs="Times New Roman"/>
        </w:rPr>
      </w:pPr>
      <w:r>
        <w:rPr>
          <w:rFonts w:ascii="Times New Roman" w:hAnsi="Times New Roman" w:eastAsia="仿宋" w:cs="Times New Roman"/>
        </w:rPr>
        <w:t>（1）《国务院关于加强环境保护重点工作的意见》，（国发[2011] 35号）；</w:t>
      </w:r>
    </w:p>
    <w:p>
      <w:pPr>
        <w:ind w:firstLine="560"/>
        <w:jc w:val="both"/>
        <w:rPr>
          <w:rFonts w:ascii="Times New Roman" w:hAnsi="Times New Roman" w:eastAsia="仿宋" w:cs="Times New Roman"/>
        </w:rPr>
      </w:pPr>
      <w:bookmarkStart w:id="48" w:name="_Toc27620"/>
      <w:bookmarkStart w:id="49" w:name="_Toc15352"/>
      <w:bookmarkStart w:id="50" w:name="_Toc15639"/>
      <w:bookmarkStart w:id="51" w:name="_Toc25039"/>
      <w:bookmarkStart w:id="52" w:name="_Toc3979"/>
      <w:bookmarkStart w:id="53" w:name="_Toc2082"/>
      <w:bookmarkStart w:id="54" w:name="_Toc25550"/>
      <w:bookmarkStart w:id="55" w:name="_Toc13586"/>
      <w:r>
        <w:rPr>
          <w:rFonts w:ascii="Times New Roman" w:hAnsi="Times New Roman" w:eastAsia="仿宋" w:cs="Times New Roman"/>
        </w:rPr>
        <w:t>（2）《突发环境事件信息报告办法》，（环境保护部令第17号），2011年5月1日；</w:t>
      </w:r>
      <w:bookmarkEnd w:id="48"/>
      <w:bookmarkEnd w:id="49"/>
      <w:bookmarkEnd w:id="50"/>
      <w:bookmarkEnd w:id="51"/>
      <w:bookmarkEnd w:id="52"/>
      <w:bookmarkEnd w:id="53"/>
      <w:bookmarkEnd w:id="54"/>
      <w:bookmarkEnd w:id="55"/>
    </w:p>
    <w:p>
      <w:pPr>
        <w:ind w:firstLine="560"/>
        <w:jc w:val="both"/>
        <w:rPr>
          <w:rFonts w:ascii="Times New Roman" w:hAnsi="Times New Roman" w:eastAsia="仿宋" w:cs="Times New Roman"/>
        </w:rPr>
      </w:pPr>
      <w:bookmarkStart w:id="56" w:name="_Toc8551"/>
      <w:bookmarkStart w:id="57" w:name="_Toc27040"/>
      <w:bookmarkStart w:id="58" w:name="_Toc16766"/>
      <w:bookmarkStart w:id="59" w:name="_Toc2578"/>
      <w:bookmarkStart w:id="60" w:name="_Toc9441"/>
      <w:bookmarkStart w:id="61" w:name="_Toc26653"/>
      <w:bookmarkStart w:id="62" w:name="_Toc28232"/>
      <w:bookmarkStart w:id="63" w:name="_Toc13485"/>
      <w:r>
        <w:rPr>
          <w:rFonts w:ascii="Times New Roman" w:hAnsi="Times New Roman" w:eastAsia="仿宋" w:cs="Times New Roman"/>
        </w:rPr>
        <w:t>（3）《企业事业单位突发环境事件应急预案备案管理办法（试行）》（环发[2015]4号），2015年1月8日；</w:t>
      </w:r>
      <w:bookmarkEnd w:id="56"/>
      <w:bookmarkEnd w:id="57"/>
      <w:bookmarkEnd w:id="58"/>
      <w:bookmarkEnd w:id="59"/>
      <w:bookmarkEnd w:id="60"/>
      <w:bookmarkEnd w:id="61"/>
      <w:bookmarkEnd w:id="62"/>
      <w:bookmarkEnd w:id="63"/>
    </w:p>
    <w:p>
      <w:pPr>
        <w:ind w:firstLine="560"/>
        <w:jc w:val="both"/>
        <w:rPr>
          <w:rFonts w:ascii="Times New Roman" w:hAnsi="Times New Roman" w:eastAsia="仿宋" w:cs="Times New Roman"/>
        </w:rPr>
      </w:pPr>
      <w:bookmarkStart w:id="64" w:name="_Toc6476"/>
      <w:bookmarkStart w:id="65" w:name="_Toc22956"/>
      <w:bookmarkStart w:id="66" w:name="_Toc17366"/>
      <w:bookmarkStart w:id="67" w:name="_Toc3542"/>
      <w:bookmarkStart w:id="68" w:name="_Toc21504"/>
      <w:bookmarkStart w:id="69" w:name="_Toc25996"/>
      <w:bookmarkStart w:id="70" w:name="_Toc27776"/>
      <w:bookmarkStart w:id="71" w:name="_Toc23959"/>
      <w:r>
        <w:rPr>
          <w:rFonts w:ascii="Times New Roman" w:hAnsi="Times New Roman" w:eastAsia="仿宋" w:cs="Times New Roman"/>
        </w:rPr>
        <w:t>（4）</w:t>
      </w:r>
      <w:bookmarkStart w:id="72" w:name="_Toc20152"/>
      <w:bookmarkStart w:id="73" w:name="_Toc16931"/>
      <w:r>
        <w:rPr>
          <w:rFonts w:ascii="Times New Roman" w:hAnsi="Times New Roman" w:eastAsia="仿宋" w:cs="Times New Roman"/>
        </w:rPr>
        <w:t>《陕西省环境保护厅办公室关于进一步加强环境应急预案管理工作的函》（陕环函[2017]183号）；</w:t>
      </w:r>
      <w:bookmarkEnd w:id="72"/>
      <w:bookmarkEnd w:id="73"/>
    </w:p>
    <w:p>
      <w:pPr>
        <w:ind w:firstLine="560"/>
        <w:jc w:val="both"/>
        <w:rPr>
          <w:rFonts w:ascii="Times New Roman" w:hAnsi="Times New Roman" w:eastAsia="仿宋" w:cs="Times New Roman"/>
        </w:rPr>
      </w:pPr>
      <w:r>
        <w:rPr>
          <w:rFonts w:ascii="Times New Roman" w:hAnsi="Times New Roman" w:eastAsia="仿宋" w:cs="Times New Roman"/>
        </w:rPr>
        <w:t>（5）《突发环境事件应急管理办法》（环境保护部令第34号），2015年6月5日；</w:t>
      </w:r>
    </w:p>
    <w:p>
      <w:pPr>
        <w:ind w:firstLine="560"/>
        <w:jc w:val="both"/>
        <w:rPr>
          <w:rFonts w:ascii="Times New Roman" w:hAnsi="Times New Roman" w:eastAsia="仿宋" w:cs="Times New Roman"/>
        </w:rPr>
      </w:pPr>
      <w:r>
        <w:rPr>
          <w:rFonts w:ascii="Times New Roman" w:hAnsi="Times New Roman" w:eastAsia="仿宋" w:cs="Times New Roman"/>
        </w:rPr>
        <w:t>（6）《突发环境事件调查处理办法》（环境保护部令第32号），2015年3月1日；</w:t>
      </w:r>
    </w:p>
    <w:bookmarkEnd w:id="64"/>
    <w:bookmarkEnd w:id="65"/>
    <w:bookmarkEnd w:id="66"/>
    <w:bookmarkEnd w:id="67"/>
    <w:bookmarkEnd w:id="68"/>
    <w:bookmarkEnd w:id="69"/>
    <w:bookmarkEnd w:id="70"/>
    <w:bookmarkEnd w:id="71"/>
    <w:p>
      <w:pPr>
        <w:numPr>
          <w:ilvl w:val="255"/>
          <w:numId w:val="0"/>
        </w:numPr>
        <w:ind w:firstLine="560" w:firstLineChars="200"/>
        <w:jc w:val="both"/>
        <w:rPr>
          <w:rFonts w:ascii="Times New Roman" w:hAnsi="Times New Roman" w:eastAsia="仿宋" w:cs="Times New Roman"/>
        </w:rPr>
      </w:pPr>
      <w:bookmarkStart w:id="74" w:name="_Toc18415"/>
      <w:bookmarkStart w:id="75" w:name="_Toc16978"/>
      <w:bookmarkStart w:id="76" w:name="_Toc26930"/>
      <w:bookmarkStart w:id="77" w:name="_Toc25309"/>
      <w:bookmarkStart w:id="78" w:name="_Toc26538"/>
      <w:bookmarkStart w:id="79" w:name="_Toc17553"/>
      <w:bookmarkStart w:id="80" w:name="_Toc1023"/>
      <w:bookmarkStart w:id="81" w:name="_Toc3088"/>
      <w:r>
        <w:rPr>
          <w:rFonts w:ascii="Times New Roman" w:hAnsi="Times New Roman" w:eastAsia="仿宋" w:cs="Times New Roman"/>
        </w:rPr>
        <w:t>（7）</w:t>
      </w:r>
      <w:bookmarkEnd w:id="74"/>
      <w:bookmarkEnd w:id="75"/>
      <w:bookmarkEnd w:id="76"/>
      <w:bookmarkEnd w:id="77"/>
      <w:bookmarkEnd w:id="78"/>
      <w:bookmarkEnd w:id="79"/>
      <w:bookmarkEnd w:id="80"/>
      <w:bookmarkEnd w:id="81"/>
      <w:r>
        <w:rPr>
          <w:rFonts w:ascii="Times New Roman" w:hAnsi="Times New Roman" w:eastAsia="仿宋" w:cs="Times New Roman"/>
        </w:rPr>
        <w:t>《陕西省突发环境事件应急预案管理暂行办法》，2011年10月8日。</w:t>
      </w:r>
    </w:p>
    <w:p>
      <w:pPr>
        <w:ind w:firstLine="560"/>
        <w:jc w:val="both"/>
        <w:rPr>
          <w:rFonts w:ascii="Times New Roman" w:hAnsi="Times New Roman" w:eastAsia="仿宋" w:cs="Times New Roman"/>
        </w:rPr>
      </w:pPr>
      <w:r>
        <w:rPr>
          <w:rFonts w:ascii="Times New Roman" w:hAnsi="Times New Roman" w:eastAsia="仿宋" w:cs="Times New Roman"/>
        </w:rPr>
        <w:t>（8）《陕西省人民政府办公厅关于印发省突发环境事件应急预案的通知》，陕西省应急办，2016年9月24日；</w:t>
      </w:r>
    </w:p>
    <w:p>
      <w:pPr>
        <w:ind w:firstLine="560"/>
        <w:rPr>
          <w:rFonts w:ascii="Times New Roman" w:hAnsi="Times New Roman" w:eastAsia="仿宋" w:cs="Times New Roman"/>
        </w:rPr>
      </w:pPr>
      <w:r>
        <w:rPr>
          <w:rFonts w:ascii="Times New Roman" w:hAnsi="Times New Roman" w:eastAsia="仿宋" w:cs="Times New Roman"/>
        </w:rPr>
        <w:t>（9）《重点环境管理危险化学品环境风险评估报告编制指南（试行）》，（环办[2013]28号）；</w:t>
      </w:r>
    </w:p>
    <w:p>
      <w:pPr>
        <w:ind w:firstLine="560"/>
        <w:jc w:val="both"/>
        <w:rPr>
          <w:rFonts w:ascii="Times New Roman" w:hAnsi="Times New Roman" w:cs="Times New Roman"/>
        </w:rPr>
      </w:pPr>
      <w:r>
        <w:rPr>
          <w:rFonts w:ascii="Times New Roman" w:hAnsi="Times New Roman" w:eastAsia="仿宋" w:cs="Times New Roman"/>
        </w:rPr>
        <w:t>（10）《企业事业单位突发环境事件应急预案评审工作指南（试行）》环办应急[2018]8号。</w:t>
      </w:r>
    </w:p>
    <w:p>
      <w:pPr>
        <w:pStyle w:val="5"/>
        <w:keepNext w:val="0"/>
        <w:keepLines w:val="0"/>
        <w:spacing w:line="360" w:lineRule="auto"/>
        <w:ind w:left="0" w:leftChars="0"/>
        <w:rPr>
          <w:szCs w:val="28"/>
        </w:rPr>
      </w:pPr>
      <w:bookmarkStart w:id="82" w:name="_Toc27470"/>
      <w:bookmarkStart w:id="83" w:name="_Toc1221"/>
      <w:bookmarkStart w:id="84" w:name="_Toc20955"/>
      <w:bookmarkStart w:id="85" w:name="_Toc278"/>
      <w:r>
        <w:rPr>
          <w:szCs w:val="28"/>
        </w:rPr>
        <w:t>2.2.3相关标准</w:t>
      </w:r>
      <w:bookmarkEnd w:id="82"/>
      <w:bookmarkEnd w:id="83"/>
      <w:bookmarkEnd w:id="84"/>
      <w:bookmarkEnd w:id="85"/>
    </w:p>
    <w:p>
      <w:pPr>
        <w:numPr>
          <w:ilvl w:val="0"/>
          <w:numId w:val="1"/>
        </w:numPr>
        <w:ind w:firstLine="560"/>
        <w:rPr>
          <w:rFonts w:ascii="Times New Roman" w:hAnsi="Times New Roman" w:eastAsia="仿宋" w:cs="Times New Roman"/>
          <w:szCs w:val="28"/>
        </w:rPr>
      </w:pPr>
      <w:bookmarkStart w:id="86" w:name="_Toc5434"/>
      <w:bookmarkStart w:id="87" w:name="_Toc30082"/>
      <w:bookmarkStart w:id="88" w:name="_Toc10425"/>
      <w:bookmarkStart w:id="89" w:name="_Toc29287"/>
      <w:bookmarkStart w:id="90" w:name="_Toc30653"/>
      <w:bookmarkStart w:id="91" w:name="_Toc27600"/>
      <w:bookmarkStart w:id="92" w:name="_Toc13744"/>
      <w:bookmarkStart w:id="93" w:name="_Toc1015"/>
      <w:r>
        <w:rPr>
          <w:rFonts w:ascii="Times New Roman" w:hAnsi="Times New Roman" w:eastAsia="仿宋" w:cs="Times New Roman"/>
          <w:szCs w:val="28"/>
        </w:rPr>
        <w:t>《建设项目环境风险评价技术导则》（HJ/T 169-2004）；</w:t>
      </w:r>
    </w:p>
    <w:p>
      <w:pPr>
        <w:numPr>
          <w:ilvl w:val="0"/>
          <w:numId w:val="1"/>
        </w:numPr>
        <w:ind w:firstLine="560"/>
        <w:rPr>
          <w:rFonts w:ascii="Times New Roman" w:hAnsi="Times New Roman" w:eastAsia="仿宋" w:cs="Times New Roman"/>
          <w:szCs w:val="28"/>
        </w:rPr>
      </w:pPr>
      <w:r>
        <w:rPr>
          <w:rFonts w:ascii="Times New Roman" w:hAnsi="Times New Roman" w:eastAsia="仿宋" w:cs="Times New Roman"/>
        </w:rPr>
        <w:t>《突发环境事件应急监测技术规范》（HJ 589-2010）；</w:t>
      </w:r>
    </w:p>
    <w:p>
      <w:pPr>
        <w:numPr>
          <w:ilvl w:val="0"/>
          <w:numId w:val="1"/>
        </w:numPr>
        <w:ind w:firstLine="560"/>
        <w:rPr>
          <w:rFonts w:ascii="Times New Roman" w:hAnsi="Times New Roman" w:eastAsia="仿宋" w:cs="Times New Roman"/>
          <w:szCs w:val="28"/>
        </w:rPr>
      </w:pPr>
      <w:r>
        <w:rPr>
          <w:rFonts w:ascii="Times New Roman" w:hAnsi="Times New Roman" w:eastAsia="仿宋" w:cs="Times New Roman"/>
          <w:szCs w:val="28"/>
        </w:rPr>
        <w:t>《地表水环境质量标准》（GB 3838-2002）；</w:t>
      </w:r>
      <w:bookmarkEnd w:id="86"/>
      <w:bookmarkEnd w:id="87"/>
      <w:bookmarkEnd w:id="88"/>
      <w:bookmarkEnd w:id="89"/>
      <w:bookmarkEnd w:id="90"/>
      <w:bookmarkEnd w:id="91"/>
      <w:bookmarkEnd w:id="92"/>
      <w:bookmarkEnd w:id="93"/>
    </w:p>
    <w:p>
      <w:pPr>
        <w:ind w:firstLine="560"/>
        <w:rPr>
          <w:rFonts w:ascii="Times New Roman" w:hAnsi="Times New Roman" w:cs="Times New Roman"/>
        </w:rPr>
      </w:pPr>
      <w:r>
        <w:rPr>
          <w:rFonts w:ascii="Times New Roman" w:hAnsi="Times New Roman" w:cs="Times New Roman"/>
        </w:rPr>
        <w:t>（4）</w:t>
      </w:r>
      <w:r>
        <w:rPr>
          <w:rFonts w:ascii="Times New Roman" w:hAnsi="Times New Roman" w:eastAsia="仿宋" w:cs="Times New Roman"/>
          <w:szCs w:val="28"/>
        </w:rPr>
        <w:t>《地下水环境质量标准》（GB 14848-1993）；</w:t>
      </w:r>
    </w:p>
    <w:p>
      <w:pPr>
        <w:ind w:firstLine="560"/>
        <w:rPr>
          <w:rFonts w:ascii="Times New Roman" w:hAnsi="Times New Roman" w:eastAsia="仿宋" w:cs="Times New Roman"/>
        </w:rPr>
      </w:pPr>
      <w:bookmarkStart w:id="94" w:name="_Toc25146"/>
      <w:bookmarkStart w:id="95" w:name="_Toc15567"/>
      <w:bookmarkStart w:id="96" w:name="_Toc28765"/>
      <w:bookmarkStart w:id="97" w:name="_Toc6757"/>
      <w:bookmarkStart w:id="98" w:name="_Toc30276"/>
      <w:bookmarkStart w:id="99" w:name="_Toc27016"/>
      <w:bookmarkStart w:id="100" w:name="_Toc22339"/>
      <w:bookmarkStart w:id="101" w:name="_Toc4383"/>
      <w:bookmarkStart w:id="102" w:name="_Toc19022"/>
      <w:bookmarkStart w:id="103" w:name="_Toc19533"/>
      <w:bookmarkStart w:id="104" w:name="_Toc19802"/>
      <w:bookmarkStart w:id="105" w:name="_Toc6346"/>
      <w:r>
        <w:rPr>
          <w:rFonts w:ascii="Times New Roman" w:hAnsi="Times New Roman" w:eastAsia="仿宋" w:cs="Times New Roman"/>
        </w:rPr>
        <w:t>（5）《大气污染物综合排放标准》（GB 16297-1996）；</w:t>
      </w:r>
      <w:bookmarkEnd w:id="94"/>
      <w:bookmarkEnd w:id="95"/>
      <w:bookmarkEnd w:id="96"/>
      <w:bookmarkEnd w:id="97"/>
      <w:bookmarkEnd w:id="98"/>
      <w:bookmarkEnd w:id="99"/>
      <w:bookmarkEnd w:id="100"/>
      <w:bookmarkEnd w:id="101"/>
      <w:bookmarkEnd w:id="102"/>
      <w:bookmarkEnd w:id="103"/>
      <w:bookmarkEnd w:id="104"/>
      <w:bookmarkEnd w:id="105"/>
    </w:p>
    <w:p>
      <w:pPr>
        <w:ind w:firstLine="560"/>
        <w:rPr>
          <w:rFonts w:ascii="Times New Roman" w:hAnsi="Times New Roman" w:eastAsia="仿宋" w:cs="Times New Roman"/>
        </w:rPr>
      </w:pPr>
      <w:r>
        <w:rPr>
          <w:rFonts w:ascii="Times New Roman" w:hAnsi="Times New Roman" w:eastAsia="仿宋" w:cs="Times New Roman"/>
        </w:rPr>
        <w:t>（6）</w:t>
      </w:r>
      <w:r>
        <w:rPr>
          <w:rFonts w:ascii="Times New Roman" w:hAnsi="Times New Roman" w:cs="Times New Roman"/>
          <w:szCs w:val="28"/>
        </w:rPr>
        <w:t>《城镇生活污水处理厂污染物排放标准》（DB 18918-2002）</w:t>
      </w:r>
      <w:r>
        <w:rPr>
          <w:rFonts w:ascii="Times New Roman" w:hAnsi="Times New Roman" w:eastAsia="仿宋" w:cs="Times New Roman"/>
        </w:rPr>
        <w:t>；</w:t>
      </w:r>
    </w:p>
    <w:p>
      <w:pPr>
        <w:ind w:firstLine="560"/>
        <w:jc w:val="both"/>
        <w:rPr>
          <w:rFonts w:ascii="Times New Roman" w:hAnsi="Times New Roman" w:eastAsia="仿宋" w:cs="Times New Roman"/>
          <w:szCs w:val="28"/>
        </w:rPr>
      </w:pPr>
      <w:r>
        <w:rPr>
          <w:rFonts w:ascii="Times New Roman" w:hAnsi="Times New Roman" w:eastAsia="仿宋" w:cs="Times New Roman"/>
          <w:szCs w:val="28"/>
        </w:rPr>
        <w:t>（7）《工业企业厂界环境噪声排放标准》（GB 12348-2008）；</w:t>
      </w:r>
    </w:p>
    <w:p>
      <w:pPr>
        <w:ind w:left="560" w:leftChars="200" w:firstLine="0" w:firstLineChars="0"/>
        <w:rPr>
          <w:rFonts w:ascii="Times New Roman" w:hAnsi="Times New Roman" w:eastAsia="仿宋" w:cs="Times New Roman"/>
        </w:rPr>
      </w:pPr>
      <w:r>
        <w:rPr>
          <w:rFonts w:ascii="Times New Roman" w:hAnsi="Times New Roman" w:eastAsia="仿宋" w:cs="Times New Roman"/>
          <w:szCs w:val="28"/>
        </w:rPr>
        <w:t>（8）《一般工业固体废物贮存、处置场污染控制标准》（GB18599-2001）；</w:t>
      </w:r>
      <w:r>
        <w:rPr>
          <w:rFonts w:ascii="Times New Roman" w:hAnsi="Times New Roman" w:cs="Times New Roman"/>
          <w:szCs w:val="28"/>
        </w:rPr>
        <w:t>（9）《危险废物鉴别标准》（GB 5085-2007）</w:t>
      </w:r>
      <w:r>
        <w:rPr>
          <w:rFonts w:ascii="Times New Roman" w:hAnsi="Times New Roman" w:eastAsia="仿宋" w:cs="Times New Roman"/>
        </w:rPr>
        <w:t>。</w:t>
      </w:r>
    </w:p>
    <w:p>
      <w:pPr>
        <w:pStyle w:val="5"/>
        <w:keepNext w:val="0"/>
        <w:keepLines w:val="0"/>
        <w:spacing w:line="360" w:lineRule="auto"/>
        <w:ind w:left="0" w:leftChars="0"/>
        <w:rPr>
          <w:szCs w:val="28"/>
        </w:rPr>
      </w:pPr>
      <w:bookmarkStart w:id="106" w:name="_Toc13853"/>
      <w:bookmarkStart w:id="107" w:name="_Toc12577"/>
      <w:bookmarkStart w:id="108" w:name="_Toc11267"/>
      <w:bookmarkStart w:id="109" w:name="_Toc2206"/>
      <w:r>
        <w:rPr>
          <w:szCs w:val="28"/>
        </w:rPr>
        <w:t>2.2.4其他资料</w:t>
      </w:r>
      <w:bookmarkEnd w:id="106"/>
      <w:bookmarkEnd w:id="107"/>
      <w:bookmarkEnd w:id="108"/>
      <w:bookmarkEnd w:id="109"/>
    </w:p>
    <w:p>
      <w:pPr>
        <w:ind w:firstLine="560"/>
        <w:rPr>
          <w:rFonts w:ascii="Times New Roman" w:hAnsi="Times New Roman" w:eastAsia="仿宋" w:cs="Times New Roman"/>
          <w:szCs w:val="28"/>
        </w:rPr>
      </w:pPr>
      <w:bookmarkStart w:id="110" w:name="_Toc17344"/>
      <w:bookmarkStart w:id="111" w:name="_Toc419215191"/>
      <w:bookmarkStart w:id="112" w:name="_Toc31602"/>
      <w:r>
        <w:rPr>
          <w:rFonts w:ascii="Times New Roman" w:hAnsi="Times New Roman" w:eastAsia="仿宋" w:cs="Times New Roman"/>
          <w:szCs w:val="28"/>
        </w:rPr>
        <w:t>（1）《西咸新区秦汉新城朝阳污水处理厂工程环境影响报告书》，西安地质矿产研究所，2013年10月；</w:t>
      </w:r>
    </w:p>
    <w:p>
      <w:pPr>
        <w:ind w:firstLine="560"/>
        <w:jc w:val="both"/>
        <w:rPr>
          <w:rFonts w:ascii="Times New Roman" w:hAnsi="Times New Roman" w:eastAsia="仿宋" w:cs="Times New Roman"/>
          <w:szCs w:val="28"/>
        </w:rPr>
      </w:pPr>
      <w:r>
        <w:rPr>
          <w:rFonts w:ascii="Times New Roman" w:hAnsi="Times New Roman" w:eastAsia="仿宋" w:cs="Times New Roman"/>
          <w:szCs w:val="28"/>
        </w:rPr>
        <w:t>（2）《关于对西咸新区秦汉新城朝阳污水处理厂工程环境影响报告书的批复》，秦汉环批复[2017]15号。</w:t>
      </w:r>
    </w:p>
    <w:p>
      <w:pPr>
        <w:pStyle w:val="2"/>
        <w:spacing w:before="31"/>
      </w:pPr>
      <w:bookmarkStart w:id="113" w:name="_Toc9473"/>
      <w:r>
        <w:t>2.3企业突发环境事件风险评估程序</w:t>
      </w:r>
      <w:bookmarkEnd w:id="110"/>
      <w:bookmarkEnd w:id="111"/>
      <w:bookmarkEnd w:id="112"/>
      <w:bookmarkEnd w:id="113"/>
    </w:p>
    <w:p>
      <w:pPr>
        <w:ind w:firstLine="560"/>
        <w:rPr>
          <w:rFonts w:ascii="Times New Roman" w:hAnsi="Times New Roman" w:eastAsia="仿宋" w:cs="Times New Roman"/>
        </w:rPr>
      </w:pPr>
      <w:r>
        <w:rPr>
          <w:rFonts w:ascii="Times New Roman" w:hAnsi="Times New Roman" w:eastAsia="仿宋" w:cs="Times New Roman"/>
          <w:szCs w:val="28"/>
        </w:rPr>
        <w:t>环境风险等级划分为一般环境风险、较大环境风险和重大环境风险三级。</w:t>
      </w:r>
      <w:r>
        <w:rPr>
          <w:rFonts w:ascii="Times New Roman" w:hAnsi="Times New Roman" w:eastAsia="仿宋" w:cs="Times New Roman"/>
        </w:rPr>
        <w:t>企业突发环境事件风险评估程序见图2-3-1。</w:t>
      </w:r>
    </w:p>
    <w:p>
      <w:pPr>
        <w:ind w:firstLine="0" w:firstLineChars="0"/>
        <w:jc w:val="both"/>
        <w:rPr>
          <w:rFonts w:ascii="Times New Roman" w:hAnsi="Times New Roman" w:eastAsia="仿宋" w:cs="Times New Roman"/>
          <w:kern w:val="0"/>
          <w:szCs w:val="28"/>
        </w:rPr>
      </w:pPr>
      <w:r>
        <w:rPr>
          <w:rFonts w:ascii="Times New Roman" w:hAnsi="Times New Roman" w:cs="Times New Roman"/>
        </w:rPr>
        <w:drawing>
          <wp:inline distT="0" distB="0" distL="114300" distR="114300">
            <wp:extent cx="5934710" cy="5569585"/>
            <wp:effectExtent l="0" t="0" r="8890"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tretch>
                      <a:fillRect/>
                    </a:stretch>
                  </pic:blipFill>
                  <pic:spPr>
                    <a:xfrm>
                      <a:off x="0" y="0"/>
                      <a:ext cx="5934710" cy="5569585"/>
                    </a:xfrm>
                    <a:prstGeom prst="rect">
                      <a:avLst/>
                    </a:prstGeom>
                    <a:noFill/>
                    <a:ln w="9525">
                      <a:noFill/>
                    </a:ln>
                  </pic:spPr>
                </pic:pic>
              </a:graphicData>
            </a:graphic>
          </wp:inline>
        </w:drawing>
      </w:r>
    </w:p>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图2-3-1 企业突发环境事件风险等级划分流程示意图</w:t>
      </w:r>
    </w:p>
    <w:p>
      <w:pPr>
        <w:pStyle w:val="3"/>
        <w:spacing w:line="360" w:lineRule="auto"/>
        <w:rPr>
          <w:szCs w:val="32"/>
        </w:rPr>
        <w:sectPr>
          <w:footerReference r:id="rId10" w:type="default"/>
          <w:pgSz w:w="11906" w:h="16838"/>
          <w:pgMar w:top="1417" w:right="1417" w:bottom="1417" w:left="1417" w:header="851" w:footer="992" w:gutter="0"/>
          <w:pgNumType w:start="1"/>
          <w:cols w:space="0" w:num="1"/>
          <w:docGrid w:type="lines" w:linePitch="389" w:charSpace="0"/>
        </w:sectPr>
      </w:pPr>
      <w:bookmarkStart w:id="114" w:name="_Toc3407"/>
    </w:p>
    <w:p>
      <w:pPr>
        <w:pStyle w:val="3"/>
        <w:spacing w:line="360" w:lineRule="auto"/>
        <w:rPr>
          <w:szCs w:val="32"/>
        </w:rPr>
      </w:pPr>
      <w:bookmarkStart w:id="115" w:name="_Toc21331"/>
      <w:r>
        <w:rPr>
          <w:szCs w:val="32"/>
        </w:rPr>
        <w:t>3资料准备与环境风险识别</w:t>
      </w:r>
      <w:bookmarkEnd w:id="114"/>
      <w:bookmarkEnd w:id="115"/>
    </w:p>
    <w:p>
      <w:pPr>
        <w:pStyle w:val="2"/>
        <w:spacing w:line="360" w:lineRule="auto"/>
      </w:pPr>
      <w:bookmarkStart w:id="116" w:name="_Toc142238908"/>
      <w:bookmarkEnd w:id="116"/>
      <w:bookmarkStart w:id="117" w:name="_Toc162428693"/>
      <w:bookmarkEnd w:id="117"/>
      <w:bookmarkStart w:id="118" w:name="_Toc398548694"/>
      <w:bookmarkStart w:id="119" w:name="_Toc419215193"/>
      <w:bookmarkStart w:id="120" w:name="_Toc15913"/>
      <w:bookmarkStart w:id="121" w:name="_Toc9384"/>
      <w:bookmarkStart w:id="122" w:name="_Toc10396"/>
      <w:r>
        <w:t>3.1</w:t>
      </w:r>
      <w:bookmarkEnd w:id="118"/>
      <w:r>
        <w:rPr>
          <w:rFonts w:hint="eastAsia"/>
        </w:rPr>
        <w:t>项目</w:t>
      </w:r>
      <w:r>
        <w:t>基本信息</w:t>
      </w:r>
      <w:bookmarkEnd w:id="119"/>
      <w:bookmarkEnd w:id="120"/>
      <w:bookmarkEnd w:id="121"/>
      <w:bookmarkEnd w:id="122"/>
    </w:p>
    <w:p>
      <w:pPr>
        <w:pStyle w:val="5"/>
        <w:spacing w:line="360" w:lineRule="auto"/>
        <w:ind w:left="0" w:leftChars="0"/>
      </w:pPr>
      <w:bookmarkStart w:id="123" w:name="_Toc419215194"/>
      <w:bookmarkStart w:id="124" w:name="_Toc401654907"/>
      <w:bookmarkStart w:id="125" w:name="_Toc29528"/>
      <w:bookmarkStart w:id="126" w:name="_Toc12284"/>
      <w:bookmarkStart w:id="127" w:name="_Toc2036"/>
      <w:r>
        <w:t>3.1.1</w:t>
      </w:r>
      <w:bookmarkEnd w:id="123"/>
      <w:bookmarkEnd w:id="124"/>
      <w:bookmarkEnd w:id="125"/>
      <w:r>
        <w:rPr>
          <w:rFonts w:hint="eastAsia"/>
        </w:rPr>
        <w:t>项目</w:t>
      </w:r>
      <w:r>
        <w:t>简介</w:t>
      </w:r>
      <w:bookmarkEnd w:id="126"/>
      <w:bookmarkEnd w:id="127"/>
    </w:p>
    <w:p>
      <w:pPr>
        <w:ind w:firstLine="560"/>
        <w:rPr>
          <w:rFonts w:ascii="Times New Roman" w:hAnsi="Times New Roman" w:cs="Times New Roman"/>
          <w:szCs w:val="28"/>
        </w:rPr>
      </w:pPr>
      <w:bookmarkStart w:id="128" w:name="_Toc31749"/>
      <w:r>
        <w:rPr>
          <w:rFonts w:ascii="Times New Roman" w:hAnsi="Times New Roman" w:cs="Times New Roman"/>
          <w:szCs w:val="28"/>
        </w:rPr>
        <w:t>西咸新区秦汉新城朝阳污水处理厂是秦汉新城排水规划与环境保护规划实施的重要组成成分，属于秦汉新城重要的环保基础设施。西咸新区秦汉新城朝阳污水处理厂建设项目是陕西省西咸新区秦汉新城管委会与陕西西咸新区中天润博水务有限公司以BOT模式合作建设的市政污水处理环保项目。本污水处理厂收纳范围主要是秦汉大道以东，朝阳四路以西，河堤路以南以及空港南区，水质以生活污水为主。处理工艺为：预处理+改良型A²/O池+周进周出二沉池+高密度沉淀池+紫外线消毒。总处理规模为10万m</w:t>
      </w:r>
      <w:r>
        <w:rPr>
          <w:rFonts w:ascii="Times New Roman" w:hAnsi="Times New Roman" w:cs="Times New Roman"/>
          <w:szCs w:val="28"/>
          <w:vertAlign w:val="superscript"/>
        </w:rPr>
        <w:t>3</w:t>
      </w:r>
      <w:r>
        <w:rPr>
          <w:rFonts w:ascii="Times New Roman" w:hAnsi="Times New Roman" w:cs="Times New Roman"/>
          <w:szCs w:val="28"/>
        </w:rPr>
        <w:t>/d。</w:t>
      </w:r>
    </w:p>
    <w:p>
      <w:pPr>
        <w:ind w:firstLine="560"/>
        <w:rPr>
          <w:rFonts w:ascii="Times New Roman" w:hAnsi="Times New Roman" w:cs="Times New Roman"/>
          <w:szCs w:val="28"/>
        </w:rPr>
      </w:pPr>
      <w:r>
        <w:rPr>
          <w:rFonts w:ascii="Times New Roman" w:hAnsi="Times New Roman" w:cs="Times New Roman"/>
          <w:szCs w:val="28"/>
        </w:rPr>
        <w:t>西咸新区秦汉新城朝阳污水处理厂占地面积74亩。厂区位于西咸新区福银高速公路东北角。一期总投资1.5亿元。</w:t>
      </w:r>
    </w:p>
    <w:p>
      <w:pPr>
        <w:ind w:firstLine="560"/>
        <w:rPr>
          <w:rFonts w:ascii="Times New Roman" w:hAnsi="Times New Roman" w:eastAsia="仿宋" w:cs="Times New Roman"/>
        </w:rPr>
      </w:pPr>
      <w:r>
        <w:rPr>
          <w:rFonts w:ascii="Times New Roman" w:hAnsi="Times New Roman" w:cs="Times New Roman"/>
          <w:szCs w:val="28"/>
        </w:rPr>
        <w:t>厂区总体布局合理，厂址东距福银高速96 m，西北距咸阳东收费站320 m，南距河堤路62 m，西距朝阳七路155 m。交通便利</w:t>
      </w:r>
      <w:r>
        <w:rPr>
          <w:rFonts w:ascii="Times New Roman" w:hAnsi="Times New Roman" w:eastAsia="仿宋" w:cs="Times New Roman"/>
        </w:rPr>
        <w:t>。</w:t>
      </w:r>
    </w:p>
    <w:p>
      <w:pPr>
        <w:ind w:firstLine="560"/>
        <w:rPr>
          <w:rFonts w:ascii="Times New Roman" w:hAnsi="Times New Roman" w:eastAsia="仿宋" w:cs="Times New Roman"/>
        </w:rPr>
      </w:pPr>
      <w:r>
        <w:rPr>
          <w:rFonts w:ascii="Times New Roman" w:hAnsi="Times New Roman" w:eastAsia="仿宋" w:cs="Times New Roman"/>
        </w:rPr>
        <w:t>劳动定员与工作制度：劳动定员35人，</w:t>
      </w:r>
      <w:r>
        <w:rPr>
          <w:rFonts w:ascii="Times New Roman" w:hAnsi="Times New Roman" w:eastAsia="仿宋" w:cs="Times New Roman"/>
          <w:szCs w:val="28"/>
        </w:rPr>
        <w:t>8小时工作制</w:t>
      </w:r>
      <w:r>
        <w:rPr>
          <w:rFonts w:ascii="Times New Roman" w:hAnsi="Times New Roman" w:eastAsia="仿宋" w:cs="Times New Roman"/>
        </w:rPr>
        <w:t>，年工作365天。</w:t>
      </w:r>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表3.1-1 企业基本简介</w:t>
      </w:r>
    </w:p>
    <w:tbl>
      <w:tblPr>
        <w:tblStyle w:val="21"/>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21"/>
        <w:gridCol w:w="2748"/>
        <w:gridCol w:w="2204"/>
        <w:gridCol w:w="291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项目名称</w:t>
            </w:r>
          </w:p>
        </w:tc>
        <w:tc>
          <w:tcPr>
            <w:tcW w:w="7867" w:type="dxa"/>
            <w:gridSpan w:val="3"/>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西咸新区秦汉新城朝阳污水处理厂工程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建设单位</w:t>
            </w:r>
          </w:p>
        </w:tc>
        <w:tc>
          <w:tcPr>
            <w:tcW w:w="7867" w:type="dxa"/>
            <w:gridSpan w:val="3"/>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陕西西咸新区中天润博水务有限公司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单位地址</w:t>
            </w:r>
          </w:p>
        </w:tc>
        <w:tc>
          <w:tcPr>
            <w:tcW w:w="7867" w:type="dxa"/>
            <w:gridSpan w:val="3"/>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陕西西咸新区秦汉新城朝阳七路（金旭路）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法人</w:t>
            </w:r>
          </w:p>
        </w:tc>
        <w:tc>
          <w:tcPr>
            <w:tcW w:w="2748"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highlight w:val="red"/>
              </w:rPr>
            </w:pPr>
            <w:r>
              <w:rPr>
                <w:rFonts w:ascii="Times New Roman" w:hAnsi="Times New Roman" w:cs="Times New Roman"/>
                <w:sz w:val="21"/>
                <w:szCs w:val="21"/>
              </w:rPr>
              <w:t>任沁川</w:t>
            </w:r>
          </w:p>
        </w:tc>
        <w:tc>
          <w:tcPr>
            <w:tcW w:w="2204"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行业类别及代码</w:t>
            </w:r>
          </w:p>
        </w:tc>
        <w:tc>
          <w:tcPr>
            <w:tcW w:w="2915"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污水处理（D4620）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联系人</w:t>
            </w:r>
          </w:p>
        </w:tc>
        <w:tc>
          <w:tcPr>
            <w:tcW w:w="2748"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魏建春</w:t>
            </w:r>
          </w:p>
        </w:tc>
        <w:tc>
          <w:tcPr>
            <w:tcW w:w="2204"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联系电话</w:t>
            </w:r>
          </w:p>
        </w:tc>
        <w:tc>
          <w:tcPr>
            <w:tcW w:w="2915" w:type="dxa"/>
            <w:tcBorders>
              <w:tl2br w:val="nil"/>
              <w:tr2bl w:val="nil"/>
            </w:tcBorders>
            <w:shd w:val="clear" w:color="auto" w:fill="auto"/>
            <w:vAlign w:val="center"/>
          </w:tcPr>
          <w:p>
            <w:pPr>
              <w:spacing w:line="240" w:lineRule="auto"/>
              <w:ind w:firstLine="420"/>
              <w:jc w:val="center"/>
              <w:rPr>
                <w:rFonts w:ascii="Times New Roman" w:hAnsi="Times New Roman" w:eastAsia="仿宋" w:cs="Times New Roman"/>
                <w:sz w:val="21"/>
                <w:szCs w:val="21"/>
              </w:rPr>
            </w:pPr>
            <w:r>
              <w:rPr>
                <w:rFonts w:ascii="Times New Roman" w:hAnsi="Times New Roman" w:cs="Times New Roman"/>
                <w:sz w:val="21"/>
                <w:szCs w:val="21"/>
              </w:rPr>
              <w:t>15229326810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占地面积</w:t>
            </w:r>
          </w:p>
        </w:tc>
        <w:tc>
          <w:tcPr>
            <w:tcW w:w="2748"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4.6396 hm</w:t>
            </w:r>
            <w:r>
              <w:rPr>
                <w:rFonts w:ascii="Times New Roman" w:hAnsi="Times New Roman" w:eastAsia="仿宋" w:cs="Times New Roman"/>
                <w:sz w:val="21"/>
                <w:szCs w:val="21"/>
                <w:vertAlign w:val="superscript"/>
              </w:rPr>
              <w:t>2</w:t>
            </w:r>
          </w:p>
        </w:tc>
        <w:tc>
          <w:tcPr>
            <w:tcW w:w="2204"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项目总投资</w:t>
            </w:r>
          </w:p>
        </w:tc>
        <w:tc>
          <w:tcPr>
            <w:tcW w:w="2915"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1.5亿元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421"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从业人数</w:t>
            </w:r>
          </w:p>
        </w:tc>
        <w:tc>
          <w:tcPr>
            <w:tcW w:w="2748"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23人</w:t>
            </w:r>
          </w:p>
        </w:tc>
        <w:tc>
          <w:tcPr>
            <w:tcW w:w="2204"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工作时间</w:t>
            </w:r>
          </w:p>
        </w:tc>
        <w:tc>
          <w:tcPr>
            <w:tcW w:w="2915" w:type="dxa"/>
            <w:tcBorders>
              <w:tl2br w:val="nil"/>
              <w:tr2bl w:val="nil"/>
            </w:tcBorders>
            <w:shd w:val="clear" w:color="auto" w:fill="auto"/>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365天</w:t>
            </w:r>
          </w:p>
        </w:tc>
      </w:tr>
    </w:tbl>
    <w:p>
      <w:pPr>
        <w:pStyle w:val="5"/>
        <w:spacing w:line="360" w:lineRule="auto"/>
        <w:ind w:left="0" w:leftChars="0"/>
      </w:pPr>
      <w:bookmarkStart w:id="129" w:name="_Toc3204"/>
      <w:r>
        <w:t>3.1.2生产过程产污环节分析</w:t>
      </w:r>
      <w:bookmarkEnd w:id="128"/>
      <w:bookmarkEnd w:id="129"/>
    </w:p>
    <w:p>
      <w:pPr>
        <w:ind w:firstLine="560"/>
        <w:rPr>
          <w:rFonts w:ascii="Times New Roman" w:hAnsi="Times New Roman" w:eastAsia="仿宋" w:cs="Times New Roman"/>
        </w:rPr>
      </w:pPr>
      <w:r>
        <w:rPr>
          <w:rFonts w:ascii="Times New Roman" w:hAnsi="Times New Roman" w:eastAsia="仿宋" w:cs="Times New Roman"/>
        </w:rPr>
        <w:t>产污环节分析见表3.1-2。</w:t>
      </w:r>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表3.1-2 产污环节分析表</w:t>
      </w:r>
    </w:p>
    <w:tbl>
      <w:tblPr>
        <w:tblStyle w:val="22"/>
        <w:tblW w:w="92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02"/>
        <w:gridCol w:w="1073"/>
        <w:gridCol w:w="741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802" w:type="dxa"/>
            <w:tcBorders>
              <w:tl2br w:val="nil"/>
              <w:tr2bl w:val="nil"/>
            </w:tcBorders>
            <w:vAlign w:val="center"/>
          </w:tcPr>
          <w:p>
            <w:pPr>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序号</w:t>
            </w:r>
          </w:p>
        </w:tc>
        <w:tc>
          <w:tcPr>
            <w:tcW w:w="1073" w:type="dxa"/>
            <w:tcBorders>
              <w:tl2br w:val="nil"/>
              <w:tr2bl w:val="nil"/>
            </w:tcBorders>
            <w:vAlign w:val="center"/>
          </w:tcPr>
          <w:p>
            <w:pPr>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类别</w:t>
            </w:r>
          </w:p>
        </w:tc>
        <w:tc>
          <w:tcPr>
            <w:tcW w:w="7413" w:type="dxa"/>
            <w:tcBorders>
              <w:tl2br w:val="nil"/>
              <w:tr2bl w:val="nil"/>
            </w:tcBorders>
            <w:vAlign w:val="center"/>
          </w:tcPr>
          <w:p>
            <w:pPr>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分析内容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802" w:type="dxa"/>
            <w:tcBorders>
              <w:tl2br w:val="nil"/>
              <w:tr2bl w:val="nil"/>
            </w:tcBorders>
            <w:vAlign w:val="center"/>
          </w:tcPr>
          <w:p>
            <w:pPr>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073" w:type="dxa"/>
            <w:tcBorders>
              <w:tl2br w:val="nil"/>
              <w:tr2bl w:val="nil"/>
            </w:tcBorders>
            <w:vAlign w:val="center"/>
          </w:tcPr>
          <w:p>
            <w:pPr>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废水</w:t>
            </w:r>
          </w:p>
        </w:tc>
        <w:tc>
          <w:tcPr>
            <w:tcW w:w="7413" w:type="dxa"/>
            <w:tcBorders>
              <w:tl2br w:val="nil"/>
              <w:tr2bl w:val="nil"/>
            </w:tcBorders>
            <w:vAlign w:val="center"/>
          </w:tcPr>
          <w:p>
            <w:pPr>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所有废水经污水处理站处理后达到《城镇生活污水处理厂污染物排放标准》（DB 18918-2002）中一级A标准后排入渭河岸边排放。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802" w:type="dxa"/>
            <w:tcBorders>
              <w:tl2br w:val="nil"/>
              <w:tr2bl w:val="nil"/>
            </w:tcBorders>
            <w:vAlign w:val="center"/>
          </w:tcPr>
          <w:p>
            <w:pPr>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073" w:type="dxa"/>
            <w:tcBorders>
              <w:tl2br w:val="nil"/>
              <w:tr2bl w:val="nil"/>
            </w:tcBorders>
            <w:vAlign w:val="center"/>
          </w:tcPr>
          <w:p>
            <w:pPr>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废气</w:t>
            </w:r>
          </w:p>
        </w:tc>
        <w:tc>
          <w:tcPr>
            <w:tcW w:w="7413" w:type="dxa"/>
            <w:tcBorders>
              <w:tl2br w:val="nil"/>
              <w:tr2bl w:val="nil"/>
            </w:tcBorders>
            <w:vAlign w:val="center"/>
          </w:tcPr>
          <w:p>
            <w:pPr>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污水处理站污泥产生的恶臭，堆存污泥采用密闭、生物除臭；脱水污泥采用及时密闭清运、设环境防护距离等措施。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802" w:type="dxa"/>
            <w:tcBorders>
              <w:tl2br w:val="nil"/>
              <w:tr2bl w:val="nil"/>
            </w:tcBorders>
            <w:vAlign w:val="center"/>
          </w:tcPr>
          <w:p>
            <w:pPr>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073" w:type="dxa"/>
            <w:tcBorders>
              <w:tl2br w:val="nil"/>
              <w:tr2bl w:val="nil"/>
            </w:tcBorders>
            <w:vAlign w:val="center"/>
          </w:tcPr>
          <w:p>
            <w:pPr>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噪声</w:t>
            </w:r>
          </w:p>
        </w:tc>
        <w:tc>
          <w:tcPr>
            <w:tcW w:w="7413" w:type="dxa"/>
            <w:tcBorders>
              <w:tl2br w:val="nil"/>
              <w:tr2bl w:val="nil"/>
            </w:tcBorders>
            <w:vAlign w:val="center"/>
          </w:tcPr>
          <w:p>
            <w:pPr>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来源于潜水泵、抽吸泵、风机、脱水机等设备，通过采取相应的隔声、减振、消声、吸声等治理措施等措施后可达到规定标准。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802" w:type="dxa"/>
            <w:tcBorders>
              <w:tl2br w:val="nil"/>
              <w:tr2bl w:val="nil"/>
            </w:tcBorders>
            <w:vAlign w:val="center"/>
          </w:tcPr>
          <w:p>
            <w:pPr>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073" w:type="dxa"/>
            <w:tcBorders>
              <w:tl2br w:val="nil"/>
              <w:tr2bl w:val="nil"/>
            </w:tcBorders>
            <w:vAlign w:val="center"/>
          </w:tcPr>
          <w:p>
            <w:pPr>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固废</w:t>
            </w:r>
          </w:p>
        </w:tc>
        <w:tc>
          <w:tcPr>
            <w:tcW w:w="7413" w:type="dxa"/>
            <w:tcBorders>
              <w:tl2br w:val="nil"/>
              <w:tr2bl w:val="nil"/>
            </w:tcBorders>
            <w:vAlign w:val="center"/>
          </w:tcPr>
          <w:p>
            <w:pPr>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包括：栅渣、沉沙、污泥、废吸附剂和生活垃圾。栅渣、沉沙和生活垃圾定期收集，送环卫部门处理；污泥出厂前用石灰进行稳定性处理，含水率低于50%后，送至管委会指定处置地点，陕西恒泰肥业科技有限公司处置；废吸附剂定期返厂更换。</w:t>
            </w:r>
          </w:p>
        </w:tc>
      </w:tr>
    </w:tbl>
    <w:p>
      <w:pPr>
        <w:pStyle w:val="2"/>
        <w:spacing w:before="31"/>
      </w:pPr>
      <w:bookmarkStart w:id="130" w:name="_Toc5752"/>
      <w:r>
        <w:t>3.2</w:t>
      </w:r>
      <w:bookmarkStart w:id="131" w:name="_Toc15619"/>
      <w:bookmarkStart w:id="132" w:name="_Toc3316"/>
      <w:r>
        <w:t>企业周边环境风险受体情况</w:t>
      </w:r>
      <w:bookmarkEnd w:id="130"/>
      <w:bookmarkEnd w:id="131"/>
      <w:bookmarkEnd w:id="132"/>
    </w:p>
    <w:p>
      <w:pPr>
        <w:ind w:firstLine="560"/>
        <w:rPr>
          <w:rFonts w:ascii="Times New Roman" w:hAnsi="Times New Roman" w:eastAsia="仿宋" w:cs="Times New Roman"/>
        </w:rPr>
      </w:pPr>
      <w:r>
        <w:rPr>
          <w:rFonts w:ascii="Times New Roman" w:hAnsi="Times New Roman" w:eastAsia="仿宋" w:cs="Times New Roman"/>
        </w:rPr>
        <w:t>环境风险受体主要是指在突发环境事件中可能受到危害的人与生态环境等。分为大气环境风险受体、土壤环境风险受体和水环境风险受体。其中，大气环境风险受体主要包括居住、医疗卫生、文化教育、行政办公、重要基础设施、企业等主要功能区域内的人群、保护单位、植被等，按人口数量进行指标量化；土壤环境风险受体主要为企业周边的基本农田保护区、居住商用地等区域；水环境风险受体主要包括饮用水水源保护区、自来水厂取水口、自然保护区、重要湿地、特殊生态系统、水产养殖区、鱼虾产卵场、天然渔场等区域，可按其脆弱性和敏感性进行级别划分。</w:t>
      </w:r>
      <w:r>
        <w:rPr>
          <w:rFonts w:ascii="Times New Roman" w:hAnsi="Times New Roman" w:cs="Times New Roman"/>
          <w:szCs w:val="28"/>
        </w:rPr>
        <w:t>西咸新区秦汉新城朝阳污水处理厂</w:t>
      </w:r>
      <w:r>
        <w:rPr>
          <w:rFonts w:ascii="Times New Roman" w:hAnsi="Times New Roman" w:eastAsia="仿宋" w:cs="Times New Roman"/>
        </w:rPr>
        <w:t>环境敏感点见表3.2-1。</w:t>
      </w:r>
    </w:p>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表3.2-1 环境敏感点及保护目标</w:t>
      </w:r>
    </w:p>
    <w:tbl>
      <w:tblPr>
        <w:tblStyle w:val="22"/>
        <w:tblW w:w="9213"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42"/>
        <w:gridCol w:w="1127"/>
        <w:gridCol w:w="1984"/>
        <w:gridCol w:w="766"/>
        <w:gridCol w:w="1034"/>
        <w:gridCol w:w="905"/>
        <w:gridCol w:w="1320"/>
        <w:gridCol w:w="143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bookmarkStart w:id="133" w:name="_Hlk522733311"/>
            <w:r>
              <w:rPr>
                <w:rFonts w:ascii="Times New Roman" w:hAnsi="Times New Roman" w:eastAsia="仿宋" w:cs="Times New Roman"/>
                <w:b/>
                <w:bCs/>
                <w:sz w:val="21"/>
                <w:szCs w:val="21"/>
              </w:rPr>
              <w:t>序号</w:t>
            </w:r>
          </w:p>
        </w:tc>
        <w:tc>
          <w:tcPr>
            <w:tcW w:w="1127"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环境要素</w:t>
            </w: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保护对象</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方位</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距离（m）</w:t>
            </w:r>
          </w:p>
        </w:tc>
        <w:tc>
          <w:tcPr>
            <w:tcW w:w="905" w:type="dxa"/>
            <w:tcBorders>
              <w:tl2br w:val="nil"/>
              <w:tr2bl w:val="nil"/>
            </w:tcBorders>
            <w:vAlign w:val="center"/>
          </w:tcPr>
          <w:p>
            <w:pPr>
              <w:spacing w:line="300" w:lineRule="atLeast"/>
              <w:ind w:firstLine="0" w:firstLineChars="0"/>
              <w:jc w:val="center"/>
              <w:rPr>
                <w:rFonts w:ascii="Times New Roman" w:hAnsi="Times New Roman" w:cs="Times New Roman"/>
              </w:rPr>
            </w:pPr>
            <w:r>
              <w:rPr>
                <w:rFonts w:ascii="Times New Roman" w:hAnsi="Times New Roman" w:eastAsia="仿宋" w:cs="Times New Roman"/>
                <w:b/>
                <w:bCs/>
                <w:sz w:val="21"/>
                <w:szCs w:val="21"/>
              </w:rPr>
              <w:t>人数</w:t>
            </w:r>
          </w:p>
        </w:tc>
        <w:tc>
          <w:tcPr>
            <w:tcW w:w="1320"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保护内容</w:t>
            </w:r>
          </w:p>
        </w:tc>
        <w:tc>
          <w:tcPr>
            <w:tcW w:w="1435" w:type="dxa"/>
            <w:tcBorders>
              <w:tl2br w:val="nil"/>
              <w:tr2bl w:val="nil"/>
            </w:tcBorders>
            <w:vAlign w:val="center"/>
          </w:tcPr>
          <w:p>
            <w:pPr>
              <w:spacing w:line="30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vMerge w:val="restart"/>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127" w:type="dxa"/>
            <w:vMerge w:val="restart"/>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环境空气</w:t>
            </w: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水岸朝阳住宅小区</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490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6000人</w:t>
            </w:r>
          </w:p>
        </w:tc>
        <w:tc>
          <w:tcPr>
            <w:tcW w:w="1320" w:type="dxa"/>
            <w:vMerge w:val="restart"/>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人群健康</w:t>
            </w:r>
          </w:p>
        </w:tc>
        <w:tc>
          <w:tcPr>
            <w:tcW w:w="1435" w:type="dxa"/>
            <w:vMerge w:val="restart"/>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《环境空气质量标准》二级标准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长庆科研中心</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310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230人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咸阳东收费站</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NW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40人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金鸽食品厂</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710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35人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长兴村</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NE</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1130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150人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127"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渭城镇</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NW</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1640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3000人</w:t>
            </w:r>
          </w:p>
        </w:tc>
        <w:tc>
          <w:tcPr>
            <w:tcW w:w="1320"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c>
          <w:tcPr>
            <w:tcW w:w="1435" w:type="dxa"/>
            <w:vMerge w:val="continue"/>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127"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地表水</w:t>
            </w:r>
          </w:p>
        </w:tc>
        <w:tc>
          <w:tcPr>
            <w:tcW w:w="198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渭河</w:t>
            </w:r>
          </w:p>
        </w:tc>
        <w:tc>
          <w:tcPr>
            <w:tcW w:w="766"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S</w:t>
            </w:r>
          </w:p>
        </w:tc>
        <w:tc>
          <w:tcPr>
            <w:tcW w:w="1034"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520</w:t>
            </w:r>
          </w:p>
        </w:tc>
        <w:tc>
          <w:tcPr>
            <w:tcW w:w="90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w:t>
            </w:r>
          </w:p>
        </w:tc>
        <w:tc>
          <w:tcPr>
            <w:tcW w:w="1320"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地表水水质</w:t>
            </w:r>
          </w:p>
        </w:tc>
        <w:tc>
          <w:tcPr>
            <w:tcW w:w="143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《地表水环境质量标准》Ⅳ类标准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642"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127"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地下水</w:t>
            </w:r>
          </w:p>
        </w:tc>
        <w:tc>
          <w:tcPr>
            <w:tcW w:w="4689" w:type="dxa"/>
            <w:gridSpan w:val="4"/>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污水处理厂周边及排水管线第四系潜水含水层、浅层承压水</w:t>
            </w:r>
          </w:p>
        </w:tc>
        <w:tc>
          <w:tcPr>
            <w:tcW w:w="1320"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水质</w:t>
            </w:r>
          </w:p>
        </w:tc>
        <w:tc>
          <w:tcPr>
            <w:tcW w:w="1435" w:type="dxa"/>
            <w:tcBorders>
              <w:tl2br w:val="nil"/>
              <w:tr2bl w:val="nil"/>
            </w:tcBorders>
            <w:vAlign w:val="center"/>
          </w:tcPr>
          <w:p>
            <w:pPr>
              <w:spacing w:line="30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《地下水环境质量标准》Ⅲ类标准</w:t>
            </w:r>
          </w:p>
        </w:tc>
      </w:tr>
      <w:bookmarkEnd w:id="133"/>
    </w:tbl>
    <w:p>
      <w:pPr>
        <w:pStyle w:val="2"/>
        <w:spacing w:before="31" w:line="360" w:lineRule="auto"/>
      </w:pPr>
      <w:bookmarkStart w:id="134" w:name="_Toc29536"/>
      <w:r>
        <w:t>3.3工艺流程及设备</w:t>
      </w:r>
      <w:bookmarkEnd w:id="134"/>
    </w:p>
    <w:p>
      <w:pPr>
        <w:pStyle w:val="5"/>
        <w:keepNext w:val="0"/>
        <w:keepLines w:val="0"/>
        <w:spacing w:line="360" w:lineRule="auto"/>
        <w:ind w:left="0" w:leftChars="0"/>
        <w:rPr>
          <w:szCs w:val="28"/>
        </w:rPr>
      </w:pPr>
      <w:bookmarkStart w:id="135" w:name="_Toc14907"/>
      <w:bookmarkStart w:id="136" w:name="_Toc26451"/>
      <w:r>
        <w:rPr>
          <w:szCs w:val="28"/>
        </w:rPr>
        <w:t>3.3.1工艺流程</w:t>
      </w:r>
      <w:bookmarkEnd w:id="135"/>
      <w:bookmarkEnd w:id="136"/>
    </w:p>
    <w:p>
      <w:pPr>
        <w:ind w:firstLine="560"/>
        <w:rPr>
          <w:rFonts w:ascii="Times New Roman" w:hAnsi="Times New Roman" w:cs="Times New Roman"/>
        </w:rPr>
      </w:pPr>
      <w:r>
        <w:rPr>
          <w:rFonts w:ascii="Times New Roman" w:hAnsi="Times New Roman" w:cs="Times New Roman"/>
        </w:rPr>
        <w:t>工艺流程如下：</w:t>
      </w:r>
    </w:p>
    <w:p>
      <w:pPr>
        <w:ind w:firstLine="560"/>
        <w:rPr>
          <w:rFonts w:ascii="Times New Roman" w:hAnsi="Times New Roman" w:cs="Times New Roman"/>
          <w:szCs w:val="28"/>
        </w:rPr>
      </w:pPr>
      <w:r>
        <w:rPr>
          <w:rFonts w:ascii="Times New Roman" w:hAnsi="Times New Roman" w:cs="Times New Roman"/>
          <w:szCs w:val="28"/>
        </w:rPr>
        <w:t>（一）预处理系统</w:t>
      </w:r>
    </w:p>
    <w:p>
      <w:pPr>
        <w:ind w:firstLine="560"/>
        <w:rPr>
          <w:rFonts w:ascii="Times New Roman" w:hAnsi="Times New Roman" w:cs="Times New Roman"/>
          <w:szCs w:val="28"/>
        </w:rPr>
      </w:pPr>
      <w:r>
        <w:rPr>
          <w:rFonts w:ascii="Times New Roman" w:hAnsi="Times New Roman" w:cs="Times New Roman"/>
          <w:szCs w:val="28"/>
        </w:rPr>
        <w:t xml:space="preserve"> （1）工艺目的</w:t>
      </w:r>
    </w:p>
    <w:p>
      <w:pPr>
        <w:ind w:firstLine="560"/>
        <w:rPr>
          <w:rFonts w:ascii="Times New Roman" w:hAnsi="Times New Roman" w:cs="Times New Roman"/>
          <w:szCs w:val="28"/>
        </w:rPr>
      </w:pPr>
      <w:r>
        <w:rPr>
          <w:rFonts w:ascii="Times New Roman" w:hAnsi="Times New Roman" w:cs="Times New Roman"/>
          <w:szCs w:val="28"/>
        </w:rPr>
        <w:t xml:space="preserve"> 主要去除污水中携带的漂浮物和悬浮物，防止堵塞后续单元的机泵或工艺管线，保护污水处理设施。</w:t>
      </w:r>
    </w:p>
    <w:p>
      <w:pPr>
        <w:ind w:firstLine="560"/>
        <w:rPr>
          <w:rFonts w:ascii="Times New Roman" w:hAnsi="Times New Roman" w:cs="Times New Roman"/>
          <w:szCs w:val="28"/>
        </w:rPr>
      </w:pPr>
      <w:r>
        <w:rPr>
          <w:rFonts w:ascii="Times New Roman" w:hAnsi="Times New Roman" w:cs="Times New Roman"/>
          <w:szCs w:val="28"/>
        </w:rPr>
        <w:t>（2）工艺内容简介</w:t>
      </w:r>
    </w:p>
    <w:p>
      <w:pPr>
        <w:ind w:firstLine="560"/>
        <w:rPr>
          <w:rFonts w:ascii="Times New Roman" w:hAnsi="Times New Roman" w:cs="Times New Roman"/>
          <w:szCs w:val="28"/>
        </w:rPr>
      </w:pPr>
      <w:r>
        <w:rPr>
          <w:rFonts w:ascii="Times New Roman" w:hAnsi="Times New Roman" w:cs="Times New Roman"/>
          <w:szCs w:val="28"/>
        </w:rPr>
        <w:t>依次包括粗格栅、提升泵房、细格棚、旋流沉砂池四部分，其中粗格栅和提升泵房合建，细格栅和沉砂池合建。预处理系统建构筑物土建考虑按远期工程规模(10万m/d)统一建设，设备按照近期规模(50000m</w:t>
      </w:r>
      <w:r>
        <w:rPr>
          <w:rFonts w:ascii="Times New Roman" w:hAnsi="Times New Roman" w:cs="Times New Roman"/>
          <w:szCs w:val="28"/>
          <w:vertAlign w:val="superscript"/>
        </w:rPr>
        <w:t>3</w:t>
      </w:r>
      <w:r>
        <w:rPr>
          <w:rFonts w:ascii="Times New Roman" w:hAnsi="Times New Roman" w:cs="Times New Roman"/>
          <w:szCs w:val="28"/>
        </w:rPr>
        <w:t>/d)配置，设计污水处理规模2708m</w:t>
      </w:r>
      <w:r>
        <w:rPr>
          <w:rFonts w:ascii="Times New Roman" w:hAnsi="Times New Roman" w:cs="Times New Roman"/>
          <w:szCs w:val="28"/>
          <w:vertAlign w:val="superscript"/>
        </w:rPr>
        <w:t>3</w:t>
      </w:r>
      <w:r>
        <w:rPr>
          <w:rFonts w:ascii="Times New Roman" w:hAnsi="Times New Roman" w:cs="Times New Roman"/>
          <w:szCs w:val="28"/>
        </w:rPr>
        <w:t>/h。</w:t>
      </w:r>
    </w:p>
    <w:p>
      <w:pPr>
        <w:ind w:firstLine="560"/>
        <w:rPr>
          <w:rFonts w:ascii="Times New Roman" w:hAnsi="Times New Roman" w:cs="Times New Roman"/>
          <w:szCs w:val="28"/>
        </w:rPr>
      </w:pPr>
      <w:r>
        <w:rPr>
          <w:rFonts w:ascii="Times New Roman" w:hAnsi="Times New Roman" w:cs="Times New Roman"/>
          <w:szCs w:val="28"/>
        </w:rPr>
        <w:t xml:space="preserve"> ①粗格栅：去除大尺寸的漂浮物和悬浮物，并拦截直径大于20mn的杂物，以保证提升系统正常运行。1座，内设3道渠(预期远期1条渠道)，32m×20m×15m(深)，地下式钢筋砼平行渠道，配备回转式格栅除污机2台(1用1备)、栅渣输送机1套；</w:t>
      </w:r>
    </w:p>
    <w:p>
      <w:pPr>
        <w:ind w:firstLine="560"/>
        <w:rPr>
          <w:rFonts w:ascii="Times New Roman" w:hAnsi="Times New Roman" w:cs="Times New Roman"/>
          <w:szCs w:val="28"/>
        </w:rPr>
      </w:pPr>
      <w:r>
        <w:rPr>
          <w:rFonts w:ascii="Times New Roman" w:hAnsi="Times New Roman" w:cs="Times New Roman"/>
          <w:szCs w:val="28"/>
        </w:rPr>
        <w:t xml:space="preserve"> ②提升泵房：将污水提升以满足整个污水处理厂竖向水力流程的要求。采用地下钢筋混凝土圆型池体，内设可提升不堵塞式大型潜水污水泵4台(3用1备1变频)；</w:t>
      </w:r>
    </w:p>
    <w:p>
      <w:pPr>
        <w:ind w:firstLine="560"/>
        <w:rPr>
          <w:rFonts w:ascii="Times New Roman" w:hAnsi="Times New Roman" w:cs="Times New Roman"/>
          <w:szCs w:val="28"/>
        </w:rPr>
      </w:pPr>
      <w:r>
        <w:rPr>
          <w:rFonts w:ascii="Times New Roman" w:hAnsi="Times New Roman" w:cs="Times New Roman"/>
          <w:szCs w:val="28"/>
        </w:rPr>
        <w:t xml:space="preserve"> ③细格栅：进一步去除污水中较小颗粒的悬浮、漂浮物质，并拦截直径大于5mm的杂物。1座，内设3道渠(预期远期1条渠道)，32m×15m×5m(深)，地下式钢筋砼平行渠道，配备2台回转式格栅除污机和1套栅渣输送机；</w:t>
      </w:r>
    </w:p>
    <w:p>
      <w:pPr>
        <w:ind w:firstLine="560"/>
        <w:rPr>
          <w:rFonts w:ascii="Times New Roman" w:hAnsi="Times New Roman" w:cs="Times New Roman"/>
          <w:szCs w:val="28"/>
        </w:rPr>
      </w:pPr>
      <w:r>
        <w:rPr>
          <w:rFonts w:ascii="Times New Roman" w:hAnsi="Times New Roman" w:cs="Times New Roman"/>
          <w:szCs w:val="28"/>
        </w:rPr>
        <w:t xml:space="preserve"> ④旋流沉砂池：通过水流切向旋转将污水中物理、化学及生物性质不同的无机颗粒和有机颗粒(悬浮物)进行分离，可防止后续处理构筑物管道的堵塞，缩小污泥处理构筑物的容积。4座(预留远期2座)，采用地下式钢筋砼圆形池体，内设旋流除砂机2台、砂水分离器1台、气提鼓风机机2台。</w:t>
      </w:r>
    </w:p>
    <w:p>
      <w:pPr>
        <w:ind w:firstLine="560"/>
        <w:rPr>
          <w:rFonts w:ascii="Times New Roman" w:hAnsi="Times New Roman" w:cs="Times New Roman"/>
          <w:szCs w:val="28"/>
        </w:rPr>
      </w:pPr>
      <w:r>
        <w:rPr>
          <w:rFonts w:ascii="Times New Roman" w:hAnsi="Times New Roman" w:cs="Times New Roman"/>
          <w:szCs w:val="28"/>
        </w:rPr>
        <w:t>（二）生物处理系统</w:t>
      </w:r>
    </w:p>
    <w:p>
      <w:pPr>
        <w:ind w:firstLine="560"/>
        <w:rPr>
          <w:rFonts w:ascii="Times New Roman" w:hAnsi="Times New Roman" w:cs="Times New Roman"/>
          <w:szCs w:val="28"/>
        </w:rPr>
      </w:pPr>
      <w:r>
        <w:rPr>
          <w:rFonts w:ascii="Times New Roman" w:hAnsi="Times New Roman" w:cs="Times New Roman"/>
          <w:szCs w:val="28"/>
        </w:rPr>
        <w:t>（1）工艺目的</w:t>
      </w:r>
    </w:p>
    <w:p>
      <w:pPr>
        <w:ind w:firstLine="560"/>
        <w:rPr>
          <w:rFonts w:ascii="Times New Roman" w:hAnsi="Times New Roman" w:cs="Times New Roman"/>
          <w:szCs w:val="28"/>
        </w:rPr>
      </w:pPr>
      <w:r>
        <w:rPr>
          <w:rFonts w:ascii="Times New Roman" w:hAnsi="Times New Roman" w:cs="Times New Roman"/>
          <w:szCs w:val="28"/>
        </w:rPr>
        <w:t>去除污水中CO、BOD等有机物及氨氮、总氮、总磷等污染物。</w:t>
      </w:r>
    </w:p>
    <w:p>
      <w:pPr>
        <w:ind w:firstLine="560"/>
        <w:rPr>
          <w:rFonts w:ascii="Times New Roman" w:hAnsi="Times New Roman" w:cs="Times New Roman"/>
          <w:szCs w:val="28"/>
        </w:rPr>
      </w:pPr>
      <w:r>
        <w:rPr>
          <w:rFonts w:ascii="Times New Roman" w:hAnsi="Times New Roman" w:cs="Times New Roman"/>
          <w:szCs w:val="28"/>
        </w:rPr>
        <w:t xml:space="preserve">（2）工艺流程简介 </w:t>
      </w:r>
    </w:p>
    <w:p>
      <w:pPr>
        <w:ind w:firstLine="560"/>
        <w:rPr>
          <w:rFonts w:ascii="Times New Roman" w:hAnsi="Times New Roman" w:cs="Times New Roman"/>
          <w:szCs w:val="28"/>
        </w:rPr>
      </w:pPr>
      <w:r>
        <w:rPr>
          <w:rFonts w:ascii="Times New Roman" w:hAnsi="Times New Roman" w:cs="Times New Roman"/>
          <w:szCs w:val="28"/>
        </w:rPr>
        <w:t>主要包括生化池、二沉池。</w:t>
      </w:r>
    </w:p>
    <w:p>
      <w:pPr>
        <w:ind w:firstLine="560"/>
        <w:rPr>
          <w:rFonts w:ascii="Times New Roman" w:hAnsi="Times New Roman" w:cs="Times New Roman"/>
          <w:szCs w:val="28"/>
        </w:rPr>
      </w:pPr>
      <w:r>
        <w:rPr>
          <w:rFonts w:ascii="Times New Roman" w:hAnsi="Times New Roman" w:cs="Times New Roman"/>
          <w:szCs w:val="28"/>
        </w:rPr>
        <w:t>①生化池：通过工艺系统营造出的短程硝化-反硝化过程环境中，较好的同时完成了去除BOD</w:t>
      </w:r>
      <w:r>
        <w:rPr>
          <w:rFonts w:ascii="Times New Roman" w:hAnsi="Times New Roman" w:cs="Times New Roman"/>
          <w:szCs w:val="28"/>
          <w:vertAlign w:val="subscript"/>
        </w:rPr>
        <w:t>5</w:t>
      </w:r>
      <w:r>
        <w:rPr>
          <w:rFonts w:ascii="Times New Roman" w:hAnsi="Times New Roman" w:cs="Times New Roman"/>
          <w:szCs w:val="28"/>
        </w:rPr>
        <w:t>、COD和脱氮除磷。1座(分2组并行运转)，92m×72m×9m(深)，钢筋混凝土结构，有效容积37500m</w:t>
      </w:r>
      <w:r>
        <w:rPr>
          <w:rFonts w:ascii="Times New Roman" w:hAnsi="Times New Roman" w:cs="Times New Roman"/>
          <w:szCs w:val="28"/>
          <w:vertAlign w:val="superscript"/>
        </w:rPr>
        <w:t>3</w:t>
      </w:r>
      <w:r>
        <w:rPr>
          <w:rFonts w:ascii="Times New Roman" w:hAnsi="Times New Roman" w:cs="Times New Roman"/>
          <w:szCs w:val="28"/>
        </w:rPr>
        <w:t>，有效水深6m，总停留时间18h。采用改良型A</w:t>
      </w:r>
      <w:r>
        <w:rPr>
          <w:rFonts w:ascii="Times New Roman" w:hAnsi="Times New Roman" w:cs="Times New Roman"/>
          <w:szCs w:val="28"/>
          <w:vertAlign w:val="superscript"/>
        </w:rPr>
        <w:t>2</w:t>
      </w:r>
      <w:r>
        <w:rPr>
          <w:rFonts w:ascii="Times New Roman" w:hAnsi="Times New Roman" w:cs="Times New Roman"/>
          <w:szCs w:val="28"/>
        </w:rPr>
        <w:t>/0工艺。生化池分为两组，每组分别由预缺氧池、厌氧池、缺氧池和好氧池构成。该工艺对脱氮处理上的关键优化点在于污泥的回流点设为多点，二沉池污泥回流进入厌氧池或缺氧池，可将回流污泥中的残留硝酸氮在缺氧和10-30%碳源条件下完成反硝化，为以后的生化反应创造微生物条件。好氧池混合液回流至缺氧池，可对好氧混合液的硝酸盐进行反硝化。</w:t>
      </w:r>
    </w:p>
    <w:p>
      <w:pPr>
        <w:ind w:firstLine="560"/>
        <w:rPr>
          <w:rFonts w:ascii="Times New Roman" w:hAnsi="Times New Roman" w:cs="Times New Roman"/>
          <w:szCs w:val="28"/>
        </w:rPr>
      </w:pPr>
      <w:r>
        <w:rPr>
          <w:rFonts w:ascii="Times New Roman" w:hAnsi="Times New Roman" w:cs="Times New Roman"/>
          <w:szCs w:val="28"/>
        </w:rPr>
        <w:t>②二沉池：进行混合液固液分离，确保污水厂出水SS达标排放。二沉池采用周进周出式沉淀池，可减少用地并降低土方开挖量，设计水量2708m</w:t>
      </w:r>
      <w:r>
        <w:rPr>
          <w:rFonts w:ascii="Times New Roman" w:hAnsi="Times New Roman" w:cs="Times New Roman"/>
          <w:szCs w:val="28"/>
          <w:vertAlign w:val="superscript"/>
        </w:rPr>
        <w:t>3</w:t>
      </w:r>
      <w:r>
        <w:rPr>
          <w:rFonts w:ascii="Times New Roman" w:hAnsi="Times New Roman" w:cs="Times New Roman"/>
          <w:szCs w:val="28"/>
        </w:rPr>
        <w:t>/h，沉淀池1座(分2组并行运转)、68m×25m×10m，钢筋混凝土结构，沉淀时间2h。内设桁车式可抬筢吸泥机(真空泵式)2台、轴流风机2台。</w:t>
      </w:r>
    </w:p>
    <w:p>
      <w:pPr>
        <w:ind w:firstLine="560"/>
        <w:rPr>
          <w:rFonts w:ascii="Times New Roman" w:hAnsi="Times New Roman" w:cs="Times New Roman"/>
          <w:szCs w:val="28"/>
        </w:rPr>
      </w:pPr>
      <w:r>
        <w:rPr>
          <w:rFonts w:ascii="Times New Roman" w:hAnsi="Times New Roman" w:cs="Times New Roman"/>
          <w:szCs w:val="28"/>
        </w:rPr>
        <w:t>（三）深度处理段</w:t>
      </w:r>
    </w:p>
    <w:p>
      <w:pPr>
        <w:ind w:firstLine="560"/>
        <w:rPr>
          <w:rFonts w:ascii="Times New Roman" w:hAnsi="Times New Roman" w:cs="Times New Roman"/>
          <w:szCs w:val="28"/>
        </w:rPr>
      </w:pPr>
      <w:r>
        <w:rPr>
          <w:rFonts w:ascii="Times New Roman" w:hAnsi="Times New Roman" w:cs="Times New Roman"/>
          <w:szCs w:val="28"/>
        </w:rPr>
        <w:t>（1）工艺目的</w:t>
      </w:r>
    </w:p>
    <w:p>
      <w:pPr>
        <w:ind w:firstLine="560"/>
        <w:rPr>
          <w:rFonts w:ascii="Times New Roman" w:hAnsi="Times New Roman" w:cs="Times New Roman"/>
          <w:szCs w:val="28"/>
        </w:rPr>
      </w:pPr>
      <w:r>
        <w:rPr>
          <w:rFonts w:ascii="Times New Roman" w:hAnsi="Times New Roman" w:cs="Times New Roman"/>
          <w:szCs w:val="28"/>
        </w:rPr>
        <w:t xml:space="preserve"> 进一步去除废水中细菌、病菌、藻类及原始生物等有机物及悬浮物、胶体粒子等污染物，进一步降低出水浊度以及含在浊度物质中的BOD</w:t>
      </w:r>
      <w:r>
        <w:rPr>
          <w:rFonts w:ascii="Times New Roman" w:hAnsi="Times New Roman" w:cs="Times New Roman"/>
          <w:szCs w:val="28"/>
          <w:vertAlign w:val="subscript"/>
        </w:rPr>
        <w:t>5</w:t>
      </w:r>
      <w:r>
        <w:rPr>
          <w:rFonts w:ascii="Times New Roman" w:hAnsi="Times New Roman" w:cs="Times New Roman"/>
          <w:szCs w:val="28"/>
        </w:rPr>
        <w:t>、COD、TP以及各种寄生虫卵和致病菌，使出水水质达到《城镇污水处理厂污染物排放标准》中一级A标准，为后续中水回用奠定基础。</w:t>
      </w:r>
    </w:p>
    <w:p>
      <w:pPr>
        <w:ind w:firstLine="560"/>
        <w:rPr>
          <w:rFonts w:ascii="Times New Roman" w:hAnsi="Times New Roman" w:cs="Times New Roman"/>
          <w:szCs w:val="28"/>
        </w:rPr>
      </w:pPr>
      <w:r>
        <w:rPr>
          <w:rFonts w:ascii="Times New Roman" w:hAnsi="Times New Roman" w:cs="Times New Roman"/>
          <w:szCs w:val="28"/>
        </w:rPr>
        <w:t>（2）工艺内容简介</w:t>
      </w:r>
    </w:p>
    <w:p>
      <w:pPr>
        <w:ind w:firstLine="560"/>
        <w:rPr>
          <w:rFonts w:ascii="Times New Roman" w:hAnsi="Times New Roman" w:cs="Times New Roman"/>
          <w:szCs w:val="28"/>
        </w:rPr>
      </w:pPr>
      <w:r>
        <w:rPr>
          <w:rFonts w:ascii="Times New Roman" w:hAnsi="Times New Roman" w:cs="Times New Roman"/>
          <w:szCs w:val="28"/>
        </w:rPr>
        <w:t>工程釆用目前被广泛认同机械混合絮凝+纤维转盘过滤工艺。为节省用地并统一管理运行操作，混合、絮凝、过滤流程采用合建池体。从二沉池岀水进入深度处理构筑物，依次经过机械絮凝反应池、转盘滤池。深度处理流量2708m/。</w:t>
      </w:r>
    </w:p>
    <w:p>
      <w:pPr>
        <w:ind w:firstLine="560"/>
        <w:rPr>
          <w:rFonts w:ascii="Times New Roman" w:hAnsi="Times New Roman" w:cs="Times New Roman"/>
          <w:szCs w:val="28"/>
        </w:rPr>
      </w:pPr>
      <w:r>
        <w:rPr>
          <w:rFonts w:ascii="Times New Roman" w:hAnsi="Times New Roman" w:cs="Times New Roman"/>
          <w:szCs w:val="28"/>
        </w:rPr>
        <w:t>①机槭絮凝反应池：污水在进入过滤程序前需进行加药处理，使药剂与水混合后凝聚成良好物理性能的絮凝体，为杂质颗粒的沉降分离创造良好条件，同时通过加药絮凝，可进一步降低磷污染指标。1座，反应时间15min，池体尺寸为12m×8m×9m(深)，有效水深5m。</w:t>
      </w:r>
    </w:p>
    <w:p>
      <w:pPr>
        <w:ind w:firstLine="560"/>
        <w:rPr>
          <w:rFonts w:ascii="Times New Roman" w:hAnsi="Times New Roman" w:eastAsia="仿宋" w:cs="Times New Roman"/>
        </w:rPr>
      </w:pPr>
      <w:r>
        <w:rPr>
          <w:rFonts w:ascii="Times New Roman" w:hAnsi="Times New Roman" w:cs="Times New Roman"/>
          <w:szCs w:val="28"/>
        </w:rPr>
        <w:t>②转盘滤池：采用纤维转盘滤布滤池，1套(预留远期增加1套的安装位置)直径3m，滤速10m/m</w:t>
      </w:r>
      <w:r>
        <w:rPr>
          <w:rFonts w:ascii="Times New Roman" w:hAnsi="Times New Roman" w:cs="Times New Roman"/>
          <w:szCs w:val="28"/>
          <w:vertAlign w:val="superscript"/>
        </w:rPr>
        <w:t>2</w:t>
      </w:r>
      <w:r>
        <w:rPr>
          <w:rFonts w:ascii="Times New Roman" w:hAnsi="Times New Roman" w:cs="Times New Roman"/>
          <w:szCs w:val="28"/>
        </w:rPr>
        <w:t>h，内设纤维转盘、冲洗抽吸泵、轴流风机等。</w:t>
      </w:r>
    </w:p>
    <w:p>
      <w:pPr>
        <w:ind w:firstLine="560"/>
        <w:rPr>
          <w:rFonts w:ascii="Times New Roman" w:hAnsi="Times New Roman" w:eastAsia="仿宋" w:cs="Times New Roman"/>
        </w:rPr>
      </w:pPr>
      <w:r>
        <w:rPr>
          <w:rFonts w:ascii="Times New Roman" w:hAnsi="Times New Roman" w:eastAsia="仿宋" w:cs="Times New Roman"/>
        </w:rPr>
        <w:t>工艺流程见图3.3-1：</w:t>
      </w:r>
      <w:r>
        <w:rPr>
          <w:rFonts w:ascii="Times New Roman" w:hAnsi="Times New Roman" w:cs="Times New Roman"/>
        </w:rPr>
        <w:drawing>
          <wp:inline distT="0" distB="0" distL="0" distR="0">
            <wp:extent cx="4864735" cy="6606540"/>
            <wp:effectExtent l="0" t="0" r="3810" b="12065"/>
            <wp:docPr id="19" name="图片 19" descr="C:\Users\surface\AppData\Local\Temp\WeChat Files\2290189700984523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surface\AppData\Local\Temp\WeChat Files\22901897009845231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rot="5400000">
                      <a:off x="0" y="0"/>
                      <a:ext cx="4864735" cy="6612989"/>
                    </a:xfrm>
                    <a:prstGeom prst="rect">
                      <a:avLst/>
                    </a:prstGeom>
                    <a:noFill/>
                    <a:ln>
                      <a:noFill/>
                    </a:ln>
                  </pic:spPr>
                </pic:pic>
              </a:graphicData>
            </a:graphic>
          </wp:inline>
        </w:drawing>
      </w:r>
    </w:p>
    <w:p>
      <w:pPr>
        <w:ind w:firstLine="48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图3.3-1 工艺流程图</w:t>
      </w:r>
    </w:p>
    <w:p>
      <w:pPr>
        <w:pStyle w:val="5"/>
        <w:keepNext w:val="0"/>
        <w:keepLines w:val="0"/>
        <w:spacing w:line="360" w:lineRule="auto"/>
        <w:ind w:left="0" w:leftChars="0"/>
        <w:rPr>
          <w:szCs w:val="28"/>
        </w:rPr>
      </w:pPr>
      <w:bookmarkStart w:id="137" w:name="_Toc15019"/>
      <w:r>
        <w:rPr>
          <w:szCs w:val="28"/>
        </w:rPr>
        <w:t>3.3.2生产设备</w:t>
      </w:r>
      <w:bookmarkEnd w:id="137"/>
    </w:p>
    <w:p>
      <w:pPr>
        <w:ind w:firstLine="560"/>
        <w:rPr>
          <w:rFonts w:ascii="Times New Roman" w:hAnsi="Times New Roman" w:eastAsia="仿宋" w:cs="Times New Roman"/>
          <w:szCs w:val="28"/>
        </w:rPr>
      </w:pPr>
      <w:r>
        <w:rPr>
          <w:rFonts w:ascii="Times New Roman" w:hAnsi="Times New Roman" w:eastAsia="仿宋" w:cs="Times New Roman"/>
          <w:szCs w:val="28"/>
        </w:rPr>
        <w:t>主要生产设备见表3.3-1。</w:t>
      </w:r>
    </w:p>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表3.3-1 主要设备一览表</w:t>
      </w:r>
    </w:p>
    <w:tbl>
      <w:tblPr>
        <w:tblStyle w:val="22"/>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44"/>
        <w:gridCol w:w="4138"/>
        <w:gridCol w:w="2637"/>
        <w:gridCol w:w="166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序号</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设备名称</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规格型号</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数量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b/>
                <w:bCs/>
                <w:color w:val="000000"/>
                <w:sz w:val="21"/>
                <w:shd w:val="clear" w:color="auto" w:fill="FFFFFF"/>
              </w:rPr>
            </w:pPr>
            <w:r>
              <w:rPr>
                <w:rFonts w:ascii="Times New Roman" w:hAnsi="Times New Roman" w:eastAsia="仿宋" w:cs="Times New Roman"/>
                <w:b/>
                <w:bCs/>
                <w:color w:val="000000"/>
                <w:sz w:val="21"/>
                <w:shd w:val="clear" w:color="auto" w:fill="FFFFFF"/>
              </w:rPr>
              <w:t>1、粗格栅进水泵房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潜水排污泵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Flygt-490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潜水排污泵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Flygt-490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钢丝绳格栅除污机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GSY150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螺旋输送压榨机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YCJ280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超声波流量计</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MAG6000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红外线液位计</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LUT420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钢制方闸门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ZSZ1400×140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铁制圆闸门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MXY2000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电动葫芦</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CD5T-6M</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轴流风机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4B1</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手动刀闸阀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DN600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蝶式止回阀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2、细格栅沉砂池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回转式细格栅</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HF1700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罗茨鼓风机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BK5003-65A</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无轴螺旋输送机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YCJ280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旋流沉沙池除砂搅拌器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XCS1080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旋流沉沙池除砂搅拌器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XCS1081</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砂水分离器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SF280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渠装闸门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QZM1800×1500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轴流风机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DZ-11-5B</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有害气体报警仪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3、组合池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内回流泵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PP4650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盘式微孔曝气系统</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EPDM D300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电动调节堰门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B=6.65m</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电动方闸</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1400×1400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在线DO仪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COM253-WX0005</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潜水推进器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SR4430 4.3KW</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桁车式吸泥机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HXH-11.25</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在线ORP仪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CPM253-MR0005</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屋顶轴流风机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DWT-I-8</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轴流风机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T35-11-6.3</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在线SS仪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CM442-3PQ710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手动蝶阀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DN300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20台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手动法兰式蝶阀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D341X-1.0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4、污泥泵井</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污泥回流泵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NP3171LT611</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剩余污泥泵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NP3102MT462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潜水搅拌器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SR4630 1.5KW</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超声波流量计</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MAG6000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红外线液位计</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LUT420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电动葫芦</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CD3T6M</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手动刀闸阀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DN400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手动刀闸阀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DN150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蝶式止回阀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DN150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5、高密池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混合搅拌机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ZJB-1500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絮凝反应搅拌机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ZJB-2000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浓缩刮泥机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ZXN-12.5</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回流污泥螺旋离心泵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C17KC11RMB/G52L</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回流污泥螺旋离心泵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C17KC11RMB/G52K</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PAM加药装置</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SPD-2800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PAM加药泵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NM021BY01P05B</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污水泵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NP3102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污泥界面仪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DPS300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反冲洗管道离心泵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TPG40-200UIA</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闸阀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Z45X-6</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16台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涡轮传动法兰式蝶阀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D341X-6</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6、紫外线消毒渠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紫外</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NLQ-50K</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电动葫芦</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PA500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超声波流量计</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MAG6000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7、脱水机房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反冲洗立式离心泵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CDL32-50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带式浓缩压滤机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DNYB2000-N</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无轴螺旋输送机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LSW320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空气压缩机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v-0.2/8(FG20)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空气压缩机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v-0.2/8(FG21)</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污泥螺杆泵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M076BY01L06B</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PAM加药装置</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SJY6000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加药泵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NM021BY01L06B</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干污泥输送泵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NM063SF04S24B</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电磁流量计</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10L25-QE0A1AA0A2AA</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自开启式污泥料仓</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V=50m</w:t>
            </w:r>
            <w:r>
              <w:rPr>
                <w:rFonts w:ascii="Times New Roman" w:hAnsi="Times New Roman" w:eastAsia="仿宋" w:cs="Times New Roman"/>
                <w:color w:val="000000"/>
                <w:sz w:val="21"/>
                <w:shd w:val="clear" w:color="auto" w:fill="FFFFFF"/>
                <w:vertAlign w:val="superscript"/>
              </w:rPr>
              <w:t>3</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手动刀闸阀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止回阀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手动球阀</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15台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管道过滤器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8、除臭间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脱水机房风机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ZYF-5.6A-4KW</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粗格栅风机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ZYF-5A-3KW</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细格栅风机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ZYF-3A-1.5KW</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引风机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ZYF-9C-11KW</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离子新风除臭系统</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BHCS-1</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9、加药间/供热站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水源热泵机组</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非标型</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末端循环水泵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DFG65-160（I）A/2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定压补水泵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DFG25-160/2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中介水泵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DFG65-160（I）B/2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污水泵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耐压畅通型换热装置</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非标型</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1套</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全自动软水器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非标型</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直立式除污器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非标型</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软化水箱</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成套给水设备/隔膜膨胀罐DN400，0.6MPa</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QPGG0.36/2-0.4/1</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10、鼓风机泵房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卷帘过滤器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RF03</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空气悬浮鼓风机</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NGT200E</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11、化验室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箱式电阻炉</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SX-8-10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生化培养箱</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SPX-150B III</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电热鼓风干燥箱</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101-1AB</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PH计</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PHS-3E</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电子显微镜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LW200-20T</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电子天平</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ESJ200-4</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紫外可见分光光度计</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L5</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8</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电热恒温水浴锅</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DK-99-IIA</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9</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立式压力蒸汽灭菌器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LS-35HD</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10</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多头磁力加热搅拌器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HJ-6A</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电子调温万用电炉</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DK-98-II</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星星冰箱</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LSC-288C</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水分测定仪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MA35</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COD数显加热仪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DJL100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12、低压配电室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干式变压器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SCB10-1250/10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低压柜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GCS</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13台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电容补偿柜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GCS</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13、高压配电室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高压电源进线柜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高压电压测量柜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高压出线柜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高压隔离柜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高压联络柜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高压计量柜</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KYN28-12</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直流屏</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CRPD-1B</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288" w:type="dxa"/>
            <w:gridSpan w:val="4"/>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b/>
                <w:bCs/>
                <w:color w:val="000000"/>
                <w:sz w:val="21"/>
                <w:shd w:val="clear" w:color="auto" w:fill="FFFFFF"/>
              </w:rPr>
              <w:t>14、进出水在线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COD自动分析仪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CODMaxII</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氨氮自动分析仪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Amtax--CompactII</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2台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3</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总磷自动分析仪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NPW-160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总磷自动分析仪</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NPW-161</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5</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单项螺杆自吸泵</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ZGD15-110-1.85</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6</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PH和ORP组合式传感器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Modei--sc200</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4"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7</w:t>
            </w:r>
          </w:p>
        </w:tc>
        <w:tc>
          <w:tcPr>
            <w:tcW w:w="4138"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PH和ORP组合式传感器</w:t>
            </w:r>
          </w:p>
        </w:tc>
        <w:tc>
          <w:tcPr>
            <w:tcW w:w="2637"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Modei--sc201</w:t>
            </w:r>
          </w:p>
        </w:tc>
        <w:tc>
          <w:tcPr>
            <w:tcW w:w="1669" w:type="dxa"/>
            <w:tcBorders>
              <w:tl2br w:val="nil"/>
              <w:tr2bl w:val="nil"/>
            </w:tcBorders>
            <w:vAlign w:val="center"/>
          </w:tcPr>
          <w:p>
            <w:pPr>
              <w:pStyle w:val="43"/>
              <w:spacing w:line="310" w:lineRule="exact"/>
              <w:ind w:firstLine="0" w:firstLineChars="0"/>
              <w:rPr>
                <w:rFonts w:ascii="Times New Roman" w:hAnsi="Times New Roman" w:eastAsia="仿宋" w:cs="Times New Roman"/>
                <w:color w:val="000000"/>
                <w:sz w:val="21"/>
                <w:shd w:val="clear" w:color="auto" w:fill="FFFFFF"/>
              </w:rPr>
            </w:pPr>
            <w:r>
              <w:rPr>
                <w:rFonts w:ascii="Times New Roman" w:hAnsi="Times New Roman" w:eastAsia="仿宋" w:cs="Times New Roman"/>
                <w:color w:val="000000"/>
                <w:sz w:val="21"/>
                <w:shd w:val="clear" w:color="auto" w:fill="FFFFFF"/>
              </w:rPr>
              <w:t>1台</w:t>
            </w:r>
          </w:p>
        </w:tc>
      </w:tr>
    </w:tbl>
    <w:p>
      <w:pPr>
        <w:pStyle w:val="5"/>
        <w:keepNext w:val="0"/>
        <w:keepLines w:val="0"/>
        <w:spacing w:line="360" w:lineRule="auto"/>
        <w:ind w:left="0" w:leftChars="0"/>
        <w:rPr>
          <w:szCs w:val="28"/>
        </w:rPr>
      </w:pPr>
      <w:bookmarkStart w:id="138" w:name="_Toc1404"/>
      <w:r>
        <w:rPr>
          <w:szCs w:val="28"/>
        </w:rPr>
        <w:t>3.3.3主要建设内容</w:t>
      </w:r>
      <w:bookmarkEnd w:id="138"/>
    </w:p>
    <w:p>
      <w:pPr>
        <w:snapToGrid w:val="0"/>
        <w:ind w:firstLine="560"/>
        <w:rPr>
          <w:rFonts w:ascii="Times New Roman" w:hAnsi="Times New Roman" w:cs="Times New Roman"/>
          <w:spacing w:val="5"/>
          <w:szCs w:val="28"/>
        </w:rPr>
      </w:pPr>
      <w:r>
        <w:rPr>
          <w:rFonts w:ascii="Times New Roman" w:hAnsi="Times New Roman" w:eastAsia="仿宋" w:cs="Times New Roman"/>
          <w:szCs w:val="28"/>
        </w:rPr>
        <w:t>主要建筑物见表3.3-2</w:t>
      </w:r>
      <w:r>
        <w:rPr>
          <w:rFonts w:ascii="Times New Roman" w:hAnsi="Times New Roman" w:cs="Times New Roman"/>
          <w:spacing w:val="5"/>
          <w:szCs w:val="28"/>
        </w:rPr>
        <w:t>。</w:t>
      </w:r>
    </w:p>
    <w:p>
      <w:pPr>
        <w:adjustRightInd w:val="0"/>
        <w:snapToGrid w:val="0"/>
        <w:ind w:firstLine="480"/>
        <w:jc w:val="center"/>
        <w:rPr>
          <w:rFonts w:ascii="Times New Roman" w:hAnsi="Times New Roman" w:cs="Times New Roman"/>
          <w:b/>
          <w:bCs/>
          <w:sz w:val="24"/>
        </w:rPr>
      </w:pPr>
      <w:r>
        <w:rPr>
          <w:rFonts w:ascii="Times New Roman" w:hAnsi="Times New Roman" w:eastAsia="仿宋" w:cs="Times New Roman"/>
          <w:b/>
          <w:bCs/>
          <w:sz w:val="24"/>
        </w:rPr>
        <w:t>表3.3-2 主要建筑物一览表</w:t>
      </w:r>
    </w:p>
    <w:tbl>
      <w:tblPr>
        <w:tblStyle w:val="22"/>
        <w:tblW w:w="94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4"/>
        <w:gridCol w:w="2375"/>
        <w:gridCol w:w="2113"/>
        <w:gridCol w:w="725"/>
        <w:gridCol w:w="3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0" w:hRule="atLeast"/>
        </w:trPr>
        <w:tc>
          <w:tcPr>
            <w:tcW w:w="744" w:type="dxa"/>
            <w:tcBorders>
              <w:top w:val="single" w:color="auto" w:sz="12" w:space="0"/>
              <w:left w:val="single" w:color="auto" w:sz="12" w:space="0"/>
            </w:tcBorders>
            <w:vAlign w:val="center"/>
          </w:tcPr>
          <w:p>
            <w:pPr>
              <w:spacing w:line="40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序号</w:t>
            </w:r>
          </w:p>
        </w:tc>
        <w:tc>
          <w:tcPr>
            <w:tcW w:w="2375" w:type="dxa"/>
            <w:tcBorders>
              <w:top w:val="single" w:color="auto" w:sz="12" w:space="0"/>
            </w:tcBorders>
            <w:vAlign w:val="center"/>
          </w:tcPr>
          <w:p>
            <w:pPr>
              <w:spacing w:line="40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名称</w:t>
            </w:r>
          </w:p>
        </w:tc>
        <w:tc>
          <w:tcPr>
            <w:tcW w:w="2113" w:type="dxa"/>
            <w:tcBorders>
              <w:top w:val="single" w:color="auto" w:sz="12" w:space="0"/>
            </w:tcBorders>
            <w:vAlign w:val="center"/>
          </w:tcPr>
          <w:p>
            <w:pPr>
              <w:spacing w:line="40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平面尺寸</w:t>
            </w:r>
          </w:p>
        </w:tc>
        <w:tc>
          <w:tcPr>
            <w:tcW w:w="725" w:type="dxa"/>
            <w:tcBorders>
              <w:top w:val="single" w:color="auto" w:sz="12" w:space="0"/>
            </w:tcBorders>
            <w:vAlign w:val="center"/>
          </w:tcPr>
          <w:p>
            <w:pPr>
              <w:spacing w:line="40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数量</w:t>
            </w:r>
          </w:p>
        </w:tc>
        <w:tc>
          <w:tcPr>
            <w:tcW w:w="3450" w:type="dxa"/>
            <w:tcBorders>
              <w:top w:val="single" w:color="auto" w:sz="12" w:space="0"/>
              <w:right w:val="single" w:color="auto" w:sz="12" w:space="0"/>
            </w:tcBorders>
            <w:vAlign w:val="center"/>
          </w:tcPr>
          <w:p>
            <w:pPr>
              <w:spacing w:line="400" w:lineRule="exac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粗格枷及进水泵房</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32×20×15m</w:t>
            </w:r>
          </w:p>
        </w:tc>
        <w:tc>
          <w:tcPr>
            <w:tcW w:w="725" w:type="dxa"/>
            <w:vMerge w:val="restart"/>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1座</w:t>
            </w: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地下建筑，池内预留3m的检修空间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细格栅及沉砂池</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32×15×5m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半地下结构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A2/0池</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9×72×9m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地下建筑，水池开挖深度5m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二沉池</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68×25×10m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座1地下建筑，水池开挖深度5.5m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污泥回流泵井</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19×10×10m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地下建筑，基础开挖深度4m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絮凝反应池/滤布滤池间</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32×24×10m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地下建筑，基础开挖深度4m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紫外消毒渠道</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14×5.5×2m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地下建筑，基础开挖深度4m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再生水泵房</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27×15×10m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半地下结构，基础开挖深4m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9</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再生水消毒池</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20×20×4m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地下建筑，基础开挖深度4m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10</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鼓风机房</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32×9.5×8m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生物除臭池</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15×10×7m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地下建筑，基础开控深度4m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污泥浓缩脱水机房</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35×12×8m</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加氯加药间药库</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29×9×6m 260m²</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综合楼</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36×13×15.3m 2100m²</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变配电间-北</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21×9.5×4.5m 200m²</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16</w:t>
            </w:r>
          </w:p>
        </w:tc>
        <w:tc>
          <w:tcPr>
            <w:tcW w:w="2375"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变配电间-南</w:t>
            </w:r>
          </w:p>
        </w:tc>
        <w:tc>
          <w:tcPr>
            <w:tcW w:w="2113" w:type="dxa"/>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14×15×4.5m 210m²</w:t>
            </w:r>
          </w:p>
        </w:tc>
        <w:tc>
          <w:tcPr>
            <w:tcW w:w="725" w:type="dxa"/>
            <w:vMerge w:val="continue"/>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44" w:type="dxa"/>
            <w:tcBorders>
              <w:left w:val="single" w:color="auto" w:sz="12" w:space="0"/>
              <w:bottom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17</w:t>
            </w:r>
          </w:p>
        </w:tc>
        <w:tc>
          <w:tcPr>
            <w:tcW w:w="2375" w:type="dxa"/>
            <w:tcBorders>
              <w:bottom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传达室</w:t>
            </w:r>
          </w:p>
        </w:tc>
        <w:tc>
          <w:tcPr>
            <w:tcW w:w="2113" w:type="dxa"/>
            <w:tcBorders>
              <w:bottom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6×4.8×4.0m 25m²</w:t>
            </w:r>
          </w:p>
        </w:tc>
        <w:tc>
          <w:tcPr>
            <w:tcW w:w="725" w:type="dxa"/>
            <w:vMerge w:val="continue"/>
            <w:tcBorders>
              <w:bottom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p>
        </w:tc>
        <w:tc>
          <w:tcPr>
            <w:tcW w:w="3450" w:type="dxa"/>
            <w:tcBorders>
              <w:bottom w:val="single" w:color="auto" w:sz="12" w:space="0"/>
              <w:right w:val="single" w:color="auto" w:sz="12" w:space="0"/>
            </w:tcBorders>
            <w:vAlign w:val="center"/>
          </w:tcPr>
          <w:p>
            <w:pPr>
              <w:spacing w:line="40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地上建筑</w:t>
            </w:r>
          </w:p>
        </w:tc>
      </w:tr>
    </w:tbl>
    <w:p>
      <w:pPr>
        <w:pStyle w:val="2"/>
        <w:spacing w:before="31"/>
      </w:pPr>
      <w:bookmarkStart w:id="139" w:name="_Toc18857"/>
      <w:r>
        <w:t>3.5安全生产管理</w:t>
      </w:r>
      <w:bookmarkEnd w:id="139"/>
    </w:p>
    <w:p>
      <w:pPr>
        <w:ind w:firstLine="560"/>
        <w:rPr>
          <w:rFonts w:ascii="Times New Roman" w:hAnsi="Times New Roman" w:eastAsia="仿宋" w:cs="Times New Roman"/>
        </w:rPr>
      </w:pPr>
      <w:r>
        <w:rPr>
          <w:rFonts w:ascii="Times New Roman" w:hAnsi="Times New Roman" w:eastAsia="仿宋" w:cs="Times New Roman"/>
          <w:szCs w:val="28"/>
        </w:rPr>
        <w:t>企业根据自身实际并结合相关法律、法规、标准等制定了相关安全生产管理制度和程序文件，具体包括《安全生产责任制》、《机械设备安全管理程序》、《易燃易爆危险点安全管理程序》、《危险品安全管理程序》等。</w:t>
      </w:r>
    </w:p>
    <w:p>
      <w:pPr>
        <w:pStyle w:val="2"/>
        <w:spacing w:before="31"/>
      </w:pPr>
      <w:bookmarkStart w:id="140" w:name="_Toc29111"/>
      <w:r>
        <w:t>3.6现有环境风险防控</w:t>
      </w:r>
      <w:bookmarkEnd w:id="140"/>
    </w:p>
    <w:p>
      <w:pPr>
        <w:pStyle w:val="5"/>
        <w:ind w:left="0" w:leftChars="0"/>
      </w:pPr>
      <w:bookmarkStart w:id="141" w:name="_Toc6250"/>
      <w:r>
        <w:t>3.6.1防治措施</w:t>
      </w:r>
      <w:bookmarkEnd w:id="141"/>
    </w:p>
    <w:p>
      <w:pPr>
        <w:pStyle w:val="36"/>
        <w:rPr>
          <w:rFonts w:ascii="Times New Roman" w:hAnsi="Times New Roman" w:eastAsia="仿宋" w:cs="Times New Roman"/>
        </w:rPr>
      </w:pPr>
      <w:r>
        <w:rPr>
          <w:rFonts w:ascii="Times New Roman" w:hAnsi="Times New Roman" w:eastAsia="仿宋" w:cs="Times New Roman"/>
        </w:rPr>
        <w:t>表3.6-1 污染防治措施表</w:t>
      </w:r>
    </w:p>
    <w:tbl>
      <w:tblPr>
        <w:tblStyle w:val="21"/>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56"/>
        <w:gridCol w:w="1946"/>
        <w:gridCol w:w="2126"/>
        <w:gridCol w:w="436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85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
                <w:kern w:val="28"/>
                <w:sz w:val="21"/>
                <w:szCs w:val="32"/>
              </w:rPr>
            </w:pPr>
            <w:r>
              <w:rPr>
                <w:rFonts w:ascii="Times New Roman" w:hAnsi="Times New Roman" w:eastAsia="仿宋" w:cs="Times New Roman"/>
                <w:b/>
                <w:kern w:val="28"/>
                <w:sz w:val="21"/>
                <w:szCs w:val="32"/>
              </w:rPr>
              <w:t>类别</w:t>
            </w:r>
          </w:p>
        </w:tc>
        <w:tc>
          <w:tcPr>
            <w:tcW w:w="194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
                <w:kern w:val="28"/>
                <w:sz w:val="21"/>
                <w:szCs w:val="32"/>
              </w:rPr>
            </w:pPr>
            <w:r>
              <w:rPr>
                <w:rFonts w:ascii="Times New Roman" w:hAnsi="Times New Roman" w:eastAsia="仿宋" w:cs="Times New Roman"/>
                <w:b/>
                <w:kern w:val="28"/>
                <w:sz w:val="21"/>
                <w:szCs w:val="32"/>
              </w:rPr>
              <w:t>污染源</w:t>
            </w:r>
          </w:p>
        </w:tc>
        <w:tc>
          <w:tcPr>
            <w:tcW w:w="212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
                <w:kern w:val="28"/>
                <w:sz w:val="21"/>
                <w:szCs w:val="32"/>
              </w:rPr>
            </w:pPr>
            <w:r>
              <w:rPr>
                <w:rFonts w:ascii="Times New Roman" w:hAnsi="Times New Roman" w:eastAsia="仿宋" w:cs="Times New Roman"/>
                <w:b/>
                <w:kern w:val="28"/>
                <w:sz w:val="21"/>
                <w:szCs w:val="32"/>
              </w:rPr>
              <w:t>污染物</w:t>
            </w:r>
          </w:p>
        </w:tc>
        <w:tc>
          <w:tcPr>
            <w:tcW w:w="4360"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
                <w:kern w:val="28"/>
                <w:sz w:val="21"/>
                <w:szCs w:val="32"/>
              </w:rPr>
            </w:pPr>
            <w:r>
              <w:rPr>
                <w:rFonts w:ascii="Times New Roman" w:hAnsi="Times New Roman" w:eastAsia="仿宋" w:cs="Times New Roman"/>
                <w:b/>
                <w:kern w:val="28"/>
                <w:sz w:val="21"/>
                <w:szCs w:val="32"/>
              </w:rPr>
              <w:t>防治措施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85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bCs/>
                <w:kern w:val="28"/>
                <w:sz w:val="21"/>
                <w:szCs w:val="32"/>
              </w:rPr>
              <w:t>废气</w:t>
            </w:r>
          </w:p>
        </w:tc>
        <w:tc>
          <w:tcPr>
            <w:tcW w:w="1946" w:type="dxa"/>
            <w:tcBorders>
              <w:tl2br w:val="nil"/>
              <w:tr2bl w:val="nil"/>
            </w:tcBorders>
            <w:shd w:val="clear" w:color="auto" w:fill="auto"/>
            <w:vAlign w:val="center"/>
          </w:tcPr>
          <w:p>
            <w:pPr>
              <w:pStyle w:val="37"/>
              <w:spacing w:line="360" w:lineRule="exact"/>
              <w:rPr>
                <w:rFonts w:ascii="Times New Roman" w:hAnsi="Times New Roman" w:eastAsia="仿宋" w:cs="Times New Roman"/>
                <w:szCs w:val="32"/>
              </w:rPr>
            </w:pPr>
            <w:r>
              <w:rPr>
                <w:rFonts w:ascii="Times New Roman" w:hAnsi="Times New Roman" w:eastAsia="仿宋" w:cs="Times New Roman"/>
                <w:szCs w:val="21"/>
              </w:rPr>
              <w:t>污泥产生的恶臭</w:t>
            </w:r>
          </w:p>
        </w:tc>
        <w:tc>
          <w:tcPr>
            <w:tcW w:w="212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bCs/>
                <w:kern w:val="28"/>
                <w:sz w:val="21"/>
                <w:szCs w:val="32"/>
              </w:rPr>
              <w:t>恶臭</w:t>
            </w:r>
          </w:p>
        </w:tc>
        <w:tc>
          <w:tcPr>
            <w:tcW w:w="4360"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堆存污泥采用密闭、生物除臭；脱水污泥采用及时密闭清运、设环境防护距离等措施。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856" w:type="dxa"/>
            <w:vMerge w:val="restart"/>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bCs/>
                <w:kern w:val="28"/>
                <w:sz w:val="21"/>
                <w:szCs w:val="32"/>
              </w:rPr>
              <w:t>废水</w:t>
            </w:r>
          </w:p>
        </w:tc>
        <w:tc>
          <w:tcPr>
            <w:tcW w:w="194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sz w:val="21"/>
                <w:szCs w:val="21"/>
              </w:rPr>
              <w:t>化验室废水</w:t>
            </w:r>
          </w:p>
        </w:tc>
        <w:tc>
          <w:tcPr>
            <w:tcW w:w="2126" w:type="dxa"/>
            <w:vMerge w:val="restart"/>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bCs/>
                <w:kern w:val="28"/>
                <w:sz w:val="21"/>
                <w:szCs w:val="32"/>
              </w:rPr>
              <w:t>SS、COD、BOD、NH</w:t>
            </w:r>
            <w:r>
              <w:rPr>
                <w:rFonts w:ascii="Times New Roman" w:hAnsi="Times New Roman" w:eastAsia="仿宋" w:cs="Times New Roman"/>
                <w:bCs/>
                <w:kern w:val="28"/>
                <w:sz w:val="21"/>
                <w:szCs w:val="32"/>
                <w:vertAlign w:val="subscript"/>
              </w:rPr>
              <w:t>3</w:t>
            </w:r>
            <w:r>
              <w:rPr>
                <w:rFonts w:ascii="Times New Roman" w:hAnsi="Times New Roman" w:eastAsia="仿宋" w:cs="Times New Roman"/>
                <w:bCs/>
                <w:kern w:val="28"/>
                <w:sz w:val="21"/>
                <w:szCs w:val="32"/>
              </w:rPr>
              <w:t>-N、石油类、动植物油等</w:t>
            </w:r>
          </w:p>
        </w:tc>
        <w:tc>
          <w:tcPr>
            <w:tcW w:w="4360" w:type="dxa"/>
            <w:vMerge w:val="restart"/>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sz w:val="21"/>
                <w:szCs w:val="21"/>
              </w:rPr>
              <w:t>所有废水经污水处理站处理后达到《城镇生活污水处理厂污染物排放标准》（DB 18918-2002）中一级A标准后排入渭河岸边排放。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856" w:type="dxa"/>
            <w:vMerge w:val="continue"/>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p>
        </w:tc>
        <w:tc>
          <w:tcPr>
            <w:tcW w:w="194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生活污水</w:t>
            </w:r>
          </w:p>
        </w:tc>
        <w:tc>
          <w:tcPr>
            <w:tcW w:w="2126" w:type="dxa"/>
            <w:vMerge w:val="continue"/>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p>
        </w:tc>
        <w:tc>
          <w:tcPr>
            <w:tcW w:w="4360" w:type="dxa"/>
            <w:vMerge w:val="continue"/>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85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bCs/>
                <w:kern w:val="28"/>
                <w:sz w:val="21"/>
                <w:szCs w:val="32"/>
              </w:rPr>
              <w:t>噪声</w:t>
            </w:r>
          </w:p>
        </w:tc>
        <w:tc>
          <w:tcPr>
            <w:tcW w:w="194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sz w:val="21"/>
                <w:szCs w:val="21"/>
              </w:rPr>
              <w:t>潜水泵、抽吸泵、风机、脱水机等</w:t>
            </w:r>
          </w:p>
        </w:tc>
        <w:tc>
          <w:tcPr>
            <w:tcW w:w="212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bCs/>
                <w:kern w:val="28"/>
                <w:sz w:val="21"/>
                <w:szCs w:val="32"/>
              </w:rPr>
              <w:t>噪声</w:t>
            </w:r>
          </w:p>
        </w:tc>
        <w:tc>
          <w:tcPr>
            <w:tcW w:w="4360"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sz w:val="21"/>
                <w:szCs w:val="21"/>
              </w:rPr>
              <w:t>隔声、减振、消声、吸声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856" w:type="dxa"/>
            <w:vMerge w:val="restart"/>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bCs/>
                <w:kern w:val="28"/>
                <w:sz w:val="21"/>
                <w:szCs w:val="32"/>
              </w:rPr>
              <w:t>固废</w:t>
            </w:r>
          </w:p>
        </w:tc>
        <w:tc>
          <w:tcPr>
            <w:tcW w:w="194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r>
              <w:rPr>
                <w:rFonts w:ascii="Times New Roman" w:hAnsi="Times New Roman" w:eastAsia="仿宋" w:cs="Times New Roman"/>
                <w:bCs/>
                <w:kern w:val="28"/>
                <w:sz w:val="21"/>
                <w:szCs w:val="32"/>
              </w:rPr>
              <w:t>一般固废</w:t>
            </w:r>
          </w:p>
        </w:tc>
        <w:tc>
          <w:tcPr>
            <w:tcW w:w="212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栅渣、沉沙、污泥、废吸附剂和生活垃圾</w:t>
            </w:r>
          </w:p>
        </w:tc>
        <w:tc>
          <w:tcPr>
            <w:tcW w:w="4360"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栅渣、沉沙和生活垃圾定期收集，送环卫部门处理；污泥出厂前用石灰进行稳定性处理，含水率低于50%后，送至管委会指定处置地点，陕西恒泰肥业科技有限公司处置；废吸附剂定期返厂更换。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856" w:type="dxa"/>
            <w:vMerge w:val="continue"/>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bCs/>
                <w:kern w:val="28"/>
                <w:sz w:val="21"/>
                <w:szCs w:val="32"/>
              </w:rPr>
            </w:pPr>
          </w:p>
        </w:tc>
        <w:tc>
          <w:tcPr>
            <w:tcW w:w="194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危险废物</w:t>
            </w:r>
          </w:p>
        </w:tc>
        <w:tc>
          <w:tcPr>
            <w:tcW w:w="2126"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废机油</w:t>
            </w:r>
          </w:p>
        </w:tc>
        <w:tc>
          <w:tcPr>
            <w:tcW w:w="4360" w:type="dxa"/>
            <w:tcBorders>
              <w:tl2br w:val="nil"/>
              <w:tr2bl w:val="nil"/>
            </w:tcBorders>
            <w:shd w:val="clear" w:color="auto" w:fill="auto"/>
            <w:vAlign w:val="center"/>
          </w:tcPr>
          <w:p>
            <w:pPr>
              <w:adjustRightInd w:val="0"/>
              <w:snapToGrid w:val="0"/>
              <w:spacing w:line="36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委托陕西新天地固体废物综合处理有限公司处置</w:t>
            </w:r>
          </w:p>
        </w:tc>
      </w:tr>
    </w:tbl>
    <w:p>
      <w:pPr>
        <w:pStyle w:val="2"/>
        <w:spacing w:line="360" w:lineRule="auto"/>
      </w:pPr>
      <w:bookmarkStart w:id="142" w:name="_Toc18285"/>
      <w:r>
        <w:t>3.7现有应急物资与装备、救援队伍情况</w:t>
      </w:r>
      <w:bookmarkEnd w:id="142"/>
    </w:p>
    <w:p>
      <w:pPr>
        <w:pStyle w:val="5"/>
        <w:spacing w:line="360" w:lineRule="auto"/>
        <w:ind w:left="0" w:leftChars="0"/>
      </w:pPr>
      <w:bookmarkStart w:id="143" w:name="_Toc427015510"/>
      <w:bookmarkStart w:id="144" w:name="_Toc28998"/>
      <w:bookmarkStart w:id="145" w:name="_Toc30330"/>
      <w:bookmarkStart w:id="146" w:name="_Toc4609"/>
      <w:r>
        <w:t>3.7.1</w:t>
      </w:r>
      <w:bookmarkEnd w:id="143"/>
      <w:bookmarkEnd w:id="144"/>
      <w:bookmarkEnd w:id="145"/>
      <w:r>
        <w:t>现有应急物资与装备</w:t>
      </w:r>
      <w:bookmarkEnd w:id="146"/>
    </w:p>
    <w:p>
      <w:pPr>
        <w:autoSpaceDE w:val="0"/>
        <w:autoSpaceDN w:val="0"/>
        <w:adjustRightInd w:val="0"/>
        <w:ind w:firstLine="560"/>
        <w:rPr>
          <w:rFonts w:ascii="Times New Roman" w:hAnsi="Times New Roman" w:eastAsia="仿宋" w:cs="Times New Roman"/>
          <w:szCs w:val="28"/>
        </w:rPr>
      </w:pPr>
      <w:bookmarkStart w:id="147" w:name="_Toc22618"/>
      <w:bookmarkStart w:id="148" w:name="_Toc31783"/>
      <w:bookmarkStart w:id="149" w:name="_Toc24728"/>
      <w:bookmarkStart w:id="150" w:name="_Toc14491"/>
      <w:bookmarkStart w:id="151" w:name="_Toc2874"/>
      <w:bookmarkStart w:id="152" w:name="_Toc25330"/>
      <w:bookmarkStart w:id="153" w:name="_Toc22741"/>
      <w:bookmarkStart w:id="154" w:name="_Toc13849"/>
      <w:bookmarkStart w:id="155" w:name="_Toc25007"/>
      <w:bookmarkStart w:id="156" w:name="_Toc21774"/>
      <w:bookmarkStart w:id="157" w:name="_Toc5960"/>
      <w:r>
        <w:rPr>
          <w:rFonts w:ascii="Times New Roman" w:hAnsi="Times New Roman" w:eastAsia="仿宋" w:cs="Times New Roman"/>
        </w:rPr>
        <w:t>现有应急物资是指第一时间可以使用的企业内部应急物质，应急装备以及企业外部可以请求援助的物质</w:t>
      </w:r>
      <w:r>
        <w:rPr>
          <w:rFonts w:ascii="Times New Roman" w:hAnsi="Times New Roman" w:eastAsia="仿宋" w:cs="Times New Roman"/>
          <w:kern w:val="0"/>
          <w:szCs w:val="28"/>
        </w:rPr>
        <w:t>根据厂区的环境危险源以及环境事故产生的特征，本厂区现有</w:t>
      </w:r>
      <w:r>
        <w:rPr>
          <w:rFonts w:ascii="Times New Roman" w:hAnsi="Times New Roman" w:eastAsia="仿宋" w:cs="Times New Roman"/>
          <w:szCs w:val="28"/>
        </w:rPr>
        <w:t>环境应急物资和设备见下表3.7-1。</w:t>
      </w:r>
    </w:p>
    <w:p>
      <w:pPr>
        <w:ind w:firstLine="0" w:firstLineChars="0"/>
        <w:jc w:val="center"/>
        <w:rPr>
          <w:rFonts w:ascii="Times New Roman" w:hAnsi="Times New Roman" w:eastAsia="仿宋" w:cs="Times New Roman"/>
          <w:b/>
          <w:sz w:val="24"/>
          <w:szCs w:val="24"/>
        </w:rPr>
      </w:pPr>
    </w:p>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sz w:val="24"/>
          <w:szCs w:val="24"/>
        </w:rPr>
        <w:t>表3.7-1    西咸新区秦汉新城朝阳污水处理厂</w:t>
      </w:r>
      <w:r>
        <w:rPr>
          <w:rFonts w:ascii="Times New Roman" w:hAnsi="Times New Roman" w:eastAsia="仿宋" w:cs="Times New Roman"/>
          <w:b/>
          <w:bCs/>
          <w:sz w:val="24"/>
          <w:szCs w:val="24"/>
        </w:rPr>
        <w:t>现有应急物资统计表</w:t>
      </w:r>
    </w:p>
    <w:bookmarkEnd w:id="147"/>
    <w:bookmarkEnd w:id="148"/>
    <w:bookmarkEnd w:id="149"/>
    <w:bookmarkEnd w:id="150"/>
    <w:bookmarkEnd w:id="151"/>
    <w:bookmarkEnd w:id="152"/>
    <w:bookmarkEnd w:id="153"/>
    <w:bookmarkEnd w:id="154"/>
    <w:bookmarkEnd w:id="155"/>
    <w:bookmarkEnd w:id="156"/>
    <w:bookmarkEnd w:id="157"/>
    <w:tbl>
      <w:tblPr>
        <w:tblStyle w:val="21"/>
        <w:tblW w:w="9174"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017"/>
        <w:gridCol w:w="1417"/>
        <w:gridCol w:w="1890"/>
        <w:gridCol w:w="1395"/>
        <w:gridCol w:w="1095"/>
        <w:gridCol w:w="15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序号</w:t>
            </w:r>
          </w:p>
        </w:tc>
        <w:tc>
          <w:tcPr>
            <w:tcW w:w="2434" w:type="dxa"/>
            <w:gridSpan w:val="2"/>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类别</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名称</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单位</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数量</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存放地点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017"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内部应急救援力量</w:t>
            </w:r>
          </w:p>
        </w:tc>
        <w:tc>
          <w:tcPr>
            <w:tcW w:w="141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电器设备</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应急灯</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60</w:t>
            </w:r>
          </w:p>
        </w:tc>
        <w:tc>
          <w:tcPr>
            <w:tcW w:w="1552"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各车间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消防设备</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消防箱</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25</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消防栓</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消防带</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 m</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干粉灭火器</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55</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物资储备</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应急池</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 xml:space="preserve">座 </w:t>
            </w:r>
            <w:r>
              <w:rPr>
                <w:rFonts w:hint="eastAsia" w:ascii="Times New Roman" w:hAnsi="Times New Roman" w:eastAsia="仿宋" w:cs="Times New Roman"/>
                <w:sz w:val="21"/>
                <w:szCs w:val="21"/>
              </w:rPr>
              <w:t>653</w:t>
            </w:r>
            <w:r>
              <w:rPr>
                <w:rFonts w:ascii="Times New Roman" w:hAnsi="Times New Roman" w:eastAsia="仿宋" w:cs="Times New Roman"/>
                <w:sz w:val="21"/>
                <w:szCs w:val="21"/>
              </w:rPr>
              <w:t xml:space="preserve"> m</w:t>
            </w:r>
            <w:r>
              <w:rPr>
                <w:rFonts w:ascii="Times New Roman" w:hAnsi="Times New Roman" w:eastAsia="仿宋" w:cs="Times New Roman"/>
                <w:sz w:val="21"/>
                <w:szCs w:val="21"/>
                <w:vertAlign w:val="superscript"/>
              </w:rPr>
              <w:t>3</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厂区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铁铲</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机械装备</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电焊机</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工程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9</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个人防护</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防酸服</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套</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各车间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10</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防护面罩</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防酸口罩</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化学护目镜</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副</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安全帽</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安全带</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m</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医疗救援</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急救箱</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16</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报警系统</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对讲机</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套</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消防队</w:t>
            </w:r>
          </w:p>
        </w:tc>
      </w:tr>
    </w:tbl>
    <w:p>
      <w:pPr>
        <w:pStyle w:val="5"/>
        <w:spacing w:line="360" w:lineRule="auto"/>
        <w:ind w:left="0" w:leftChars="0"/>
      </w:pPr>
      <w:bookmarkStart w:id="158" w:name="_Toc10397"/>
      <w:r>
        <w:t>3.7.2 应急救援队伍</w:t>
      </w:r>
      <w:bookmarkEnd w:id="158"/>
    </w:p>
    <w:p>
      <w:pPr>
        <w:autoSpaceDE w:val="0"/>
        <w:autoSpaceDN w:val="0"/>
        <w:adjustRightInd w:val="0"/>
        <w:ind w:firstLine="560"/>
        <w:rPr>
          <w:rFonts w:ascii="Times New Roman" w:hAnsi="Times New Roman" w:eastAsia="仿宋" w:cs="Times New Roman"/>
          <w:szCs w:val="28"/>
        </w:rPr>
      </w:pPr>
      <w:r>
        <w:rPr>
          <w:rFonts w:ascii="Times New Roman" w:hAnsi="Times New Roman" w:eastAsia="仿宋" w:cs="Times New Roman"/>
          <w:bCs/>
          <w:iCs/>
          <w:szCs w:val="28"/>
        </w:rPr>
        <w:t>当环境风险事故轻微或较严重，但厂区可控时，应急救援队伍可由西咸新区秦汉新城朝阳污水处理厂内</w:t>
      </w:r>
      <w:r>
        <w:rPr>
          <w:rFonts w:ascii="Times New Roman" w:hAnsi="Times New Roman" w:eastAsia="仿宋" w:cs="Times New Roman"/>
          <w:szCs w:val="28"/>
        </w:rPr>
        <w:t xml:space="preserve">部建立的突发环境事件应急组织指挥体系组成，内部应急组织领导小组一览表见表3.7-2所示。  </w:t>
      </w:r>
    </w:p>
    <w:p>
      <w:pPr>
        <w:ind w:firstLine="560"/>
        <w:rPr>
          <w:rFonts w:ascii="Times New Roman" w:hAnsi="Times New Roman" w:eastAsia="仿宋" w:cs="Times New Roman"/>
          <w:szCs w:val="28"/>
        </w:rPr>
      </w:pPr>
      <w:r>
        <w:rPr>
          <w:rFonts w:ascii="Times New Roman" w:hAnsi="Times New Roman" w:eastAsia="仿宋" w:cs="Times New Roman"/>
          <w:szCs w:val="28"/>
        </w:rPr>
        <w:t>当环境风险事故严重或非常严重，厂区不可控，应急救援力量无法控制，立即启动社会应急救援，向当地环保局、消防、安监、公安等部门报告请求支援。外部应急机构、医院等联系方式见表3.7-3。</w:t>
      </w:r>
    </w:p>
    <w:p>
      <w:pPr>
        <w:autoSpaceDE w:val="0"/>
        <w:autoSpaceDN w:val="0"/>
        <w:adjustRightInd w:val="0"/>
        <w:snapToGrid w:val="0"/>
        <w:spacing w:before="194" w:beforeLines="50"/>
        <w:ind w:firstLine="480"/>
        <w:jc w:val="center"/>
        <w:rPr>
          <w:rFonts w:ascii="Times New Roman" w:hAnsi="Times New Roman" w:eastAsia="仿宋" w:cs="Times New Roman"/>
          <w:b/>
          <w:kern w:val="0"/>
          <w:sz w:val="24"/>
          <w:szCs w:val="24"/>
        </w:rPr>
      </w:pPr>
      <w:r>
        <w:rPr>
          <w:rFonts w:ascii="Times New Roman" w:hAnsi="Times New Roman" w:eastAsia="仿宋" w:cs="Times New Roman"/>
          <w:b/>
          <w:kern w:val="0"/>
          <w:sz w:val="24"/>
          <w:szCs w:val="24"/>
        </w:rPr>
        <w:t>表3.7-2   内部应急救援联络名单</w:t>
      </w:r>
    </w:p>
    <w:tbl>
      <w:tblPr>
        <w:tblStyle w:val="22"/>
        <w:tblW w:w="9299"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29"/>
        <w:gridCol w:w="2196"/>
        <w:gridCol w:w="1785"/>
        <w:gridCol w:w="1905"/>
        <w:gridCol w:w="238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序号</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应急救援组职务</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职务</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姓名</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联系方式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应急救援指挥部</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总指挥</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赵志刚</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13629298364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副总指挥</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魏建春</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15229326810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应急救援指挥办公室</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毛振强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13992821177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赵小鱼</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18191015075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抢险救援组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范佳</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13468533404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张凯</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15686151205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15592137259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13488499339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通讯联络组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李秉健</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18329726901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屈晨晨</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18892035859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治安组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李锦涛</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15319914007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吴龙刚</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18149325242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物资供应组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景文艳</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18821671626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侯茹</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17629109113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应急消防组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吴瑞瑞</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18829846986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罗毛</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13227856003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高雨果</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18240873458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cs="Times New Roman"/>
                <w:sz w:val="21"/>
                <w:szCs w:val="21"/>
              </w:rPr>
              <w:t>9</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医疗救护组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颜建宇</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13759783826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cs="Times New Roman"/>
                <w:sz w:val="21"/>
                <w:szCs w:val="21"/>
              </w:rPr>
            </w:pPr>
            <w:r>
              <w:rPr>
                <w:rFonts w:ascii="Times New Roman" w:hAnsi="Times New Roman" w:cs="Times New Roman"/>
                <w:sz w:val="21"/>
                <w:szCs w:val="21"/>
              </w:rPr>
              <w:t>10</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应急监测组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杨翠</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13379520312</w:t>
            </w:r>
          </w:p>
        </w:tc>
      </w:tr>
    </w:tbl>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表3.7-3 外部救援力量</w:t>
      </w:r>
    </w:p>
    <w:tbl>
      <w:tblPr>
        <w:tblStyle w:val="22"/>
        <w:tblW w:w="92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644"/>
        <w:gridCol w:w="464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bookmarkStart w:id="159" w:name="_Toc29165"/>
            <w:bookmarkStart w:id="160" w:name="_Toc19513"/>
            <w:bookmarkStart w:id="161" w:name="_Toc652"/>
            <w:r>
              <w:rPr>
                <w:rFonts w:ascii="Times New Roman" w:hAnsi="Times New Roman" w:eastAsia="仿宋" w:cs="Times New Roman"/>
                <w:b/>
                <w:bCs/>
                <w:sz w:val="21"/>
                <w:szCs w:val="21"/>
              </w:rPr>
              <w:t>单位名称</w:t>
            </w:r>
            <w:bookmarkEnd w:id="159"/>
            <w:bookmarkEnd w:id="160"/>
            <w:bookmarkEnd w:id="161"/>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联系电话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紧急救护中心</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消防中心</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报警电话</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咸阳市政府办公室</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029-36210188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西咸新区管委会</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029-33185000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西咸新区环境保护局</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 xml:space="preserve"> 029-33585985</w:t>
            </w:r>
          </w:p>
        </w:tc>
      </w:tr>
    </w:tbl>
    <w:p>
      <w:pPr>
        <w:ind w:firstLine="560"/>
        <w:rPr>
          <w:rFonts w:ascii="Times New Roman" w:hAnsi="Times New Roman" w:cs="Times New Roman"/>
        </w:rPr>
        <w:sectPr>
          <w:pgSz w:w="11906" w:h="16838"/>
          <w:pgMar w:top="1417" w:right="1417" w:bottom="1417" w:left="1417" w:header="851" w:footer="992" w:gutter="0"/>
          <w:cols w:space="0" w:num="1"/>
          <w:docGrid w:type="lines" w:linePitch="389" w:charSpace="0"/>
        </w:sectPr>
      </w:pPr>
    </w:p>
    <w:p>
      <w:pPr>
        <w:pStyle w:val="3"/>
        <w:spacing w:line="360" w:lineRule="auto"/>
      </w:pPr>
      <w:bookmarkStart w:id="162" w:name="_Toc18993"/>
      <w:r>
        <w:t>4突发环境事件及其后果分析</w:t>
      </w:r>
      <w:bookmarkEnd w:id="162"/>
    </w:p>
    <w:p>
      <w:pPr>
        <w:pStyle w:val="2"/>
        <w:spacing w:line="360" w:lineRule="auto"/>
      </w:pPr>
      <w:bookmarkStart w:id="163" w:name="_Toc4175"/>
      <w:bookmarkStart w:id="164" w:name="_Toc7143"/>
      <w:r>
        <w:t>4.1 突发环境事件情景分析</w:t>
      </w:r>
      <w:bookmarkEnd w:id="163"/>
      <w:bookmarkEnd w:id="164"/>
    </w:p>
    <w:p>
      <w:pPr>
        <w:pStyle w:val="5"/>
        <w:spacing w:line="360" w:lineRule="auto"/>
        <w:ind w:left="0" w:leftChars="0"/>
      </w:pPr>
      <w:bookmarkStart w:id="165" w:name="_Toc455605021"/>
      <w:bookmarkStart w:id="166" w:name="_Toc8926"/>
      <w:bookmarkStart w:id="167" w:name="_Toc3935"/>
      <w:r>
        <w:t>4.1.1 国内同类企业突发环境事件</w:t>
      </w:r>
      <w:bookmarkEnd w:id="165"/>
      <w:bookmarkEnd w:id="166"/>
      <w:r>
        <w:t>案例</w:t>
      </w:r>
      <w:bookmarkEnd w:id="167"/>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案例1：废机油泄漏事故</w:t>
      </w:r>
    </w:p>
    <w:p>
      <w:pPr>
        <w:ind w:firstLine="560"/>
        <w:rPr>
          <w:rFonts w:ascii="Times New Roman" w:hAnsi="Times New Roman" w:eastAsia="仿宋" w:cs="Times New Roman"/>
          <w:kern w:val="0"/>
          <w:szCs w:val="28"/>
        </w:rPr>
      </w:pPr>
      <w:r>
        <w:rPr>
          <w:rFonts w:ascii="Times New Roman" w:hAnsi="Times New Roman" w:eastAsia="仿宋" w:cs="Times New Roman"/>
          <w:color w:val="000000"/>
          <w:szCs w:val="28"/>
        </w:rPr>
        <w:t>2015年4月20日，益阳环宇再生资源有限责任公司将废机油向生产设备反应釜灌注过程中，反应釜焊接挡板突然开裂，导致废机油沿裂口外流，废机油泄漏。据估算，泄漏废机油约8吨，已回收约7吨，剩余的废机油绝大部分被竹粉、木屑、海绵、吸油毯吸附，少量的废机油随雨水流失到环境中。同时，益阳市桃江县环保局组织人员迅速赶赴现场处置。桃江县环境监测站对事发地周边地表水、土壤进行采样分析，涉事企业立即停止生产。并积极投身于现场处置中，减少时间对周边环境的影响</w:t>
      </w:r>
      <w:r>
        <w:rPr>
          <w:rFonts w:ascii="Times New Roman" w:hAnsi="Times New Roman" w:eastAsia="仿宋" w:cs="Times New Roman"/>
          <w:kern w:val="0"/>
          <w:szCs w:val="28"/>
        </w:rPr>
        <w:t>。</w:t>
      </w:r>
    </w:p>
    <w:p>
      <w:pPr>
        <w:ind w:left="560" w:leftChars="200" w:firstLine="0" w:firstLineChars="0"/>
        <w:rPr>
          <w:rFonts w:ascii="Times New Roman" w:hAnsi="Times New Roman" w:eastAsia="仿宋" w:cs="Times New Roman"/>
          <w:kern w:val="0"/>
          <w:szCs w:val="28"/>
        </w:rPr>
      </w:pPr>
      <w:r>
        <w:rPr>
          <w:rFonts w:ascii="Times New Roman" w:hAnsi="Times New Roman" w:eastAsia="仿宋" w:cs="Times New Roman"/>
          <w:kern w:val="0"/>
          <w:szCs w:val="28"/>
        </w:rPr>
        <w:t>案例2：污水处理站事故</w:t>
      </w:r>
    </w:p>
    <w:p>
      <w:pPr>
        <w:ind w:firstLine="560"/>
        <w:rPr>
          <w:rFonts w:ascii="Times New Roman" w:hAnsi="Times New Roman" w:eastAsia="仿宋" w:cs="Times New Roman"/>
          <w:kern w:val="0"/>
          <w:szCs w:val="28"/>
        </w:rPr>
      </w:pPr>
      <w:r>
        <w:rPr>
          <w:rFonts w:ascii="Times New Roman" w:hAnsi="Times New Roman" w:eastAsia="仿宋" w:cs="Times New Roman"/>
          <w:color w:val="000000"/>
          <w:szCs w:val="28"/>
        </w:rPr>
        <w:t>2017年3月5日8时许，位于上海市闵行区紫东路489号的光明乳业有限公司华东中心工厂的污水处理站内，安装班领班段某安排被害人李某林、李某民对酸化池钢上临时铺设的PE软管进行固定，同时安排被害人刘某在酸化池上清理垃圾。当日9时许，李某林在酸化池东北处使用电焊对固定管道的钢架进行点焊穿孔时发生爆炸，导致李某林与刘某二人死亡，</w:t>
      </w:r>
      <w:r>
        <w:rPr>
          <w:rFonts w:ascii="Times New Roman" w:hAnsi="Times New Roman" w:eastAsia="仿宋" w:cs="Times New Roman"/>
          <w:kern w:val="0"/>
          <w:szCs w:val="28"/>
        </w:rPr>
        <w:t>李某民腿部、椎体等部位骨折。</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2017年5月19日，辽宁大连旅顺龙头街道盐厂新村发生村民掉入污水池伤亡事件。经过初步调査，因村公共污水收集池堵塞，有村民下去疏通晕倒，后陆续有人参与施救过程中掉入池中，最终造成8人死亡，2人受伤。</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2017年5月29日上午10时10分，河北辛集市欧赛皮革有限公司污水处理厂在维修曝气池电机过程中发生中毒事故，造成6人中毒，送医院后经多方抢救，4人已无生命体征。</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2014年4月底，邢台市污水处理厂发现了市二中北校区南侧腾龙汽贸公司工棚内放气井内的放气阀不能正常使用。7月1日，放气阀配件到厂，18时左右，秦计山与曹如增到达预定放气井，下井开始拆除旧阀门作业，未戴防毒面具。新放气阀更换完毕后，在打开下部闸阀的瞬间，有害气体迅速大量释放出来，造成在井内作业的秦计山和曹如增中毒，井上监护人员郝晨阳发现后，急忙叫来腾龙汽贸公司的程治草查看帮忙，随后程治草报了110，郝晨阳报了120和119。</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事故发生后郝晨阳电话报告了徐志林常务副厂长，徐志林电话报告了杨振轩厂长，并通知尚春生、曹立强到事故现场参加救援。经消防人员和其他人的救援，20时30分，中毒人员秦计山、曹如增、郝晨阳被送到邢台市人民医院抢救。秦计山、曹如增抢救无效死亡，郝晨阳入院治疗。</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（一）直接原因</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作业人员违反受限空间和有毒有害作业操作规程，在未采取任何防护措施的情况下，下井更换放气阀，污水管道中的高浓度硫化氢（高于最高职业接触限值2倍）等有毒气体大量急速释出，造成作业人员中毒窒息死亡。</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（二）间接原因</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1、企业安全教育培训不到位。临时工曹如增未经井下作业安全生产教育培训而进行井下作业，秦计山、郝晨阳虽经安全生产教育，但未经考核。</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2、企业安全生产规章制度落实不到位。作业人员未按照受限空间作业操作规程开具作业票，落实各项安全措施。</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3、企业安全生产应急管理不位，事前作业人员未制定现场应急处置方案，又未配备必要的应急装备，如：空气呼吸器、安全绳、通风机等</w:t>
      </w:r>
      <w:r>
        <w:rPr>
          <w:rFonts w:ascii="Times New Roman" w:hAnsi="Times New Roman" w:cs="Times New Roman"/>
        </w:rPr>
        <w:t>。</w:t>
      </w:r>
    </w:p>
    <w:p>
      <w:pPr>
        <w:pStyle w:val="2"/>
        <w:rPr>
          <w:bCs/>
        </w:rPr>
      </w:pPr>
      <w:bookmarkStart w:id="168" w:name="_Toc8339"/>
      <w:bookmarkStart w:id="169" w:name="_Toc21920"/>
      <w:bookmarkStart w:id="170" w:name="_Toc434584914"/>
      <w:bookmarkStart w:id="171" w:name="_Toc455605022"/>
      <w:bookmarkStart w:id="172" w:name="_Toc5980"/>
      <w:r>
        <w:rPr>
          <w:bCs/>
        </w:rPr>
        <w:t>4.2环境风险源分析</w:t>
      </w:r>
      <w:bookmarkEnd w:id="168"/>
      <w:bookmarkEnd w:id="169"/>
      <w:bookmarkEnd w:id="170"/>
      <w:bookmarkEnd w:id="171"/>
      <w:bookmarkEnd w:id="172"/>
    </w:p>
    <w:p>
      <w:pPr>
        <w:autoSpaceDE w:val="0"/>
        <w:autoSpaceDN w:val="0"/>
        <w:ind w:firstLine="560"/>
        <w:jc w:val="both"/>
        <w:textAlignment w:val="baseline"/>
        <w:rPr>
          <w:rFonts w:ascii="Times New Roman" w:hAnsi="Times New Roman" w:eastAsia="仿宋" w:cs="Times New Roman"/>
          <w:kern w:val="0"/>
          <w:szCs w:val="28"/>
        </w:rPr>
      </w:pPr>
      <w:r>
        <w:rPr>
          <w:rFonts w:ascii="Times New Roman" w:hAnsi="Times New Roman" w:eastAsia="仿宋" w:cs="Times New Roman"/>
          <w:kern w:val="0"/>
          <w:szCs w:val="28"/>
        </w:rPr>
        <w:t>针对</w:t>
      </w:r>
      <w:r>
        <w:rPr>
          <w:rFonts w:ascii="Times New Roman" w:hAnsi="Times New Roman" w:cs="Times New Roman"/>
          <w:szCs w:val="28"/>
        </w:rPr>
        <w:t>西咸新区秦汉新城朝阳污水处理厂</w:t>
      </w:r>
      <w:r>
        <w:rPr>
          <w:rFonts w:ascii="Times New Roman" w:hAnsi="Times New Roman" w:eastAsia="仿宋" w:cs="Times New Roman"/>
          <w:kern w:val="0"/>
          <w:szCs w:val="28"/>
        </w:rPr>
        <w:t>可能发生的突发环境事件每种情景，进行分析。</w:t>
      </w:r>
      <w:bookmarkStart w:id="173" w:name="_Toc5401"/>
      <w:bookmarkStart w:id="174" w:name="_Toc13912"/>
      <w:bookmarkStart w:id="175" w:name="_Toc15867"/>
    </w:p>
    <w:p>
      <w:pPr>
        <w:pStyle w:val="5"/>
        <w:ind w:left="0" w:leftChars="0"/>
      </w:pPr>
      <w:bookmarkStart w:id="176" w:name="_Toc17321"/>
      <w:r>
        <w:t xml:space="preserve">4.2.1 </w:t>
      </w:r>
      <w:bookmarkEnd w:id="173"/>
      <w:bookmarkEnd w:id="174"/>
      <w:r>
        <w:t>风险源识别范围及类型分析</w:t>
      </w:r>
      <w:bookmarkEnd w:id="175"/>
      <w:bookmarkEnd w:id="176"/>
    </w:p>
    <w:p>
      <w:pPr>
        <w:ind w:firstLine="560"/>
        <w:jc w:val="both"/>
        <w:rPr>
          <w:rFonts w:ascii="Times New Roman" w:hAnsi="Times New Roman" w:cs="Times New Roman"/>
        </w:rPr>
      </w:pPr>
      <w:bookmarkStart w:id="177" w:name="_Toc6684"/>
      <w:bookmarkStart w:id="178" w:name="_Toc32490"/>
      <w:bookmarkStart w:id="179" w:name="_Toc4500"/>
      <w:bookmarkStart w:id="180" w:name="_Toc17802"/>
      <w:bookmarkStart w:id="181" w:name="_Toc619"/>
      <w:bookmarkStart w:id="182" w:name="_Toc2949"/>
      <w:bookmarkStart w:id="183" w:name="_Toc12952"/>
      <w:bookmarkStart w:id="184" w:name="_Toc32210"/>
      <w:r>
        <w:rPr>
          <w:rFonts w:ascii="Times New Roman" w:hAnsi="Times New Roman" w:cs="Times New Roman"/>
        </w:rPr>
        <w:t>风险识别范围主要从生产设施风险识别和生产过程所涉及的物质风险识别两方面着手。通过对主要生产装置、生产过程的分析，结合所使用的物料物性及特点，本厂常见的风险类型主要包括以下几类：</w:t>
      </w:r>
      <w:bookmarkEnd w:id="177"/>
      <w:bookmarkEnd w:id="178"/>
      <w:bookmarkEnd w:id="179"/>
      <w:bookmarkEnd w:id="180"/>
      <w:bookmarkEnd w:id="181"/>
      <w:bookmarkEnd w:id="182"/>
      <w:bookmarkEnd w:id="183"/>
      <w:bookmarkEnd w:id="184"/>
    </w:p>
    <w:p>
      <w:pPr>
        <w:ind w:firstLine="560"/>
        <w:jc w:val="both"/>
        <w:rPr>
          <w:rFonts w:ascii="Times New Roman" w:hAnsi="Times New Roman" w:cs="Times New Roman"/>
        </w:rPr>
      </w:pPr>
      <w:bookmarkStart w:id="185" w:name="_Toc11760"/>
      <w:bookmarkStart w:id="186" w:name="_Toc6145"/>
      <w:bookmarkStart w:id="187" w:name="_Toc26026"/>
      <w:bookmarkStart w:id="188" w:name="_Toc6156"/>
      <w:bookmarkStart w:id="189" w:name="_Toc10004"/>
      <w:bookmarkStart w:id="190" w:name="_Toc5151"/>
      <w:bookmarkStart w:id="191" w:name="_Toc22622"/>
      <w:bookmarkStart w:id="192" w:name="_Toc26218"/>
      <w:r>
        <w:rPr>
          <w:rFonts w:ascii="Times New Roman" w:hAnsi="Times New Roman" w:cs="Times New Roman"/>
        </w:rPr>
        <w:t>（1）危险化学品泄露、挥发、爆炸引发的事故。</w:t>
      </w:r>
      <w:r>
        <w:rPr>
          <w:rFonts w:ascii="Times New Roman" w:hAnsi="Times New Roman" w:cs="Times New Roman"/>
          <w:szCs w:val="28"/>
        </w:rPr>
        <w:t>西咸新区秦汉新城朝阳污水处理厂</w:t>
      </w:r>
      <w:r>
        <w:rPr>
          <w:rFonts w:ascii="Times New Roman" w:hAnsi="Times New Roman" w:cs="Times New Roman"/>
        </w:rPr>
        <w:t>储存的化学试剂分别为硫酸、盐酸、聚合氯化铝（PAC）、聚丙烯酰胺（PAM）</w:t>
      </w:r>
      <w:bookmarkEnd w:id="185"/>
      <w:bookmarkEnd w:id="186"/>
      <w:bookmarkEnd w:id="187"/>
      <w:bookmarkEnd w:id="188"/>
      <w:bookmarkEnd w:id="189"/>
      <w:r>
        <w:rPr>
          <w:rFonts w:ascii="Times New Roman" w:hAnsi="Times New Roman" w:cs="Times New Roman"/>
        </w:rPr>
        <w:t>，其中盐酸和硫酸为化验中试验用品，存储量较少；</w:t>
      </w:r>
      <w:bookmarkEnd w:id="190"/>
      <w:bookmarkEnd w:id="191"/>
      <w:bookmarkEnd w:id="192"/>
    </w:p>
    <w:p>
      <w:pPr>
        <w:ind w:firstLine="560"/>
        <w:jc w:val="both"/>
        <w:rPr>
          <w:rFonts w:ascii="Times New Roman" w:hAnsi="Times New Roman" w:cs="Times New Roman"/>
          <w:szCs w:val="28"/>
        </w:rPr>
      </w:pPr>
      <w:bookmarkStart w:id="193" w:name="_Toc18232"/>
      <w:bookmarkStart w:id="194" w:name="_Toc625"/>
      <w:bookmarkStart w:id="195" w:name="_Toc19506"/>
      <w:bookmarkStart w:id="196" w:name="_Toc30672"/>
      <w:bookmarkStart w:id="197" w:name="_Toc8914"/>
      <w:bookmarkStart w:id="198" w:name="_Toc10663"/>
      <w:bookmarkStart w:id="199" w:name="_Toc19615"/>
      <w:r>
        <w:rPr>
          <w:rFonts w:ascii="Times New Roman" w:hAnsi="Times New Roman" w:cs="Times New Roman"/>
        </w:rPr>
        <w:t>（2）污水管网系统由于堵塞、破裂和接头处的破损，造</w:t>
      </w:r>
      <w:r>
        <w:rPr>
          <w:rFonts w:ascii="Times New Roman" w:hAnsi="Times New Roman" w:cs="Times New Roman"/>
          <w:szCs w:val="28"/>
        </w:rPr>
        <w:t>成大量污水外溢，从而进入公司外部520 m范围内的</w:t>
      </w:r>
      <w:bookmarkEnd w:id="193"/>
      <w:bookmarkEnd w:id="194"/>
      <w:bookmarkEnd w:id="195"/>
      <w:bookmarkEnd w:id="196"/>
      <w:r>
        <w:rPr>
          <w:rFonts w:ascii="Times New Roman" w:hAnsi="Times New Roman" w:cs="Times New Roman"/>
          <w:szCs w:val="28"/>
        </w:rPr>
        <w:t>渭河；</w:t>
      </w:r>
    </w:p>
    <w:p>
      <w:pPr>
        <w:pStyle w:val="18"/>
        <w:spacing w:beforeAutospacing="0" w:afterAutospacing="0"/>
        <w:ind w:firstLine="560"/>
        <w:contextualSpacing/>
        <w:jc w:val="both"/>
        <w:textAlignment w:val="baseline"/>
        <w:rPr>
          <w:rFonts w:ascii="Times New Roman" w:hAnsi="Times New Roman"/>
          <w:sz w:val="28"/>
          <w:szCs w:val="28"/>
        </w:rPr>
      </w:pPr>
      <w:bookmarkStart w:id="200" w:name="_Toc11654"/>
      <w:bookmarkStart w:id="201" w:name="_Toc13077"/>
      <w:bookmarkStart w:id="202" w:name="_Toc5586"/>
      <w:bookmarkStart w:id="203" w:name="_Toc10289"/>
      <w:r>
        <w:rPr>
          <w:rFonts w:ascii="Times New Roman" w:hAnsi="Times New Roman"/>
          <w:sz w:val="28"/>
          <w:szCs w:val="28"/>
        </w:rPr>
        <w:t>（3）污水泵站由于长时间停电或污水水泵损坏，排水不畅易引起污水漫溢进入渭河；</w:t>
      </w:r>
      <w:bookmarkEnd w:id="200"/>
      <w:bookmarkEnd w:id="201"/>
      <w:bookmarkEnd w:id="202"/>
      <w:bookmarkEnd w:id="203"/>
    </w:p>
    <w:p>
      <w:pPr>
        <w:pStyle w:val="18"/>
        <w:spacing w:beforeAutospacing="0" w:afterAutospacing="0"/>
        <w:ind w:firstLine="560"/>
        <w:contextualSpacing/>
        <w:jc w:val="both"/>
        <w:textAlignment w:val="baseline"/>
        <w:rPr>
          <w:rFonts w:ascii="Times New Roman" w:hAnsi="Times New Roman"/>
          <w:sz w:val="28"/>
          <w:szCs w:val="28"/>
        </w:rPr>
      </w:pPr>
      <w:bookmarkStart w:id="204" w:name="_Toc6836"/>
      <w:bookmarkStart w:id="205" w:name="_Toc21986"/>
      <w:bookmarkStart w:id="206" w:name="_Toc2933"/>
      <w:bookmarkStart w:id="207" w:name="_Toc6068"/>
      <w:r>
        <w:rPr>
          <w:rFonts w:ascii="Times New Roman" w:hAnsi="Times New Roman"/>
          <w:sz w:val="28"/>
          <w:szCs w:val="28"/>
        </w:rPr>
        <w:t>（4）污水处理厂停电、设备损坏、污水处理设施运行不正常、停检修等造成的大量污水未经处理直接排入渭河，造成事故污染；</w:t>
      </w:r>
      <w:bookmarkEnd w:id="204"/>
      <w:bookmarkEnd w:id="205"/>
      <w:bookmarkEnd w:id="206"/>
      <w:bookmarkEnd w:id="207"/>
    </w:p>
    <w:p>
      <w:pPr>
        <w:pStyle w:val="18"/>
        <w:spacing w:beforeAutospacing="0" w:afterAutospacing="0"/>
        <w:ind w:firstLine="560"/>
        <w:contextualSpacing/>
        <w:jc w:val="both"/>
        <w:textAlignment w:val="baseline"/>
        <w:rPr>
          <w:rFonts w:ascii="Times New Roman" w:hAnsi="Times New Roman"/>
          <w:sz w:val="28"/>
          <w:szCs w:val="28"/>
        </w:rPr>
      </w:pPr>
      <w:bookmarkStart w:id="208" w:name="_Toc8428"/>
      <w:bookmarkStart w:id="209" w:name="_Toc10423"/>
      <w:bookmarkStart w:id="210" w:name="_Toc20709"/>
      <w:bookmarkStart w:id="211" w:name="_Toc16483"/>
      <w:r>
        <w:rPr>
          <w:rFonts w:ascii="Times New Roman" w:hAnsi="Times New Roman"/>
          <w:sz w:val="28"/>
          <w:szCs w:val="28"/>
        </w:rPr>
        <w:t>（5）污泥池未及时处理，造成污泥外溢或污泥随意堆放，造成区域环境内恶臭气体浓度增加</w:t>
      </w:r>
      <w:bookmarkEnd w:id="208"/>
      <w:bookmarkEnd w:id="209"/>
      <w:bookmarkEnd w:id="210"/>
      <w:bookmarkEnd w:id="211"/>
      <w:r>
        <w:rPr>
          <w:rFonts w:ascii="Times New Roman" w:hAnsi="Times New Roman"/>
          <w:sz w:val="28"/>
          <w:szCs w:val="28"/>
        </w:rPr>
        <w:t>；</w:t>
      </w:r>
    </w:p>
    <w:p>
      <w:pPr>
        <w:ind w:firstLine="560"/>
        <w:jc w:val="both"/>
        <w:rPr>
          <w:rFonts w:ascii="Times New Roman" w:hAnsi="Times New Roman" w:cs="Times New Roman"/>
        </w:rPr>
      </w:pPr>
      <w:bookmarkStart w:id="212" w:name="_Toc8827"/>
      <w:bookmarkStart w:id="213" w:name="_Toc13666"/>
      <w:bookmarkStart w:id="214" w:name="_Toc22227"/>
      <w:bookmarkStart w:id="215" w:name="_Toc13621"/>
      <w:r>
        <w:rPr>
          <w:rFonts w:ascii="Times New Roman" w:hAnsi="Times New Roman" w:cs="Times New Roman"/>
        </w:rPr>
        <w:t>（6）废气外排环境污染事件</w:t>
      </w:r>
      <w:bookmarkEnd w:id="197"/>
      <w:bookmarkEnd w:id="198"/>
      <w:bookmarkEnd w:id="199"/>
      <w:r>
        <w:rPr>
          <w:rFonts w:ascii="Times New Roman" w:hAnsi="Times New Roman" w:cs="Times New Roman"/>
        </w:rPr>
        <w:t>。</w:t>
      </w:r>
      <w:bookmarkStart w:id="216" w:name="_Toc30728"/>
      <w:bookmarkStart w:id="217" w:name="_Toc17193"/>
      <w:bookmarkStart w:id="218" w:name="_Toc8088"/>
      <w:r>
        <w:rPr>
          <w:rFonts w:ascii="Times New Roman" w:hAnsi="Times New Roman" w:cs="Times New Roman"/>
        </w:rPr>
        <w:t>污水处理厂在运行过程中会有臭气产生，主要来源于格栅、CASS池及污泥脱水间等，臭气的主要成分为氨气、硫化氢、甲硫醇等物质</w:t>
      </w:r>
      <w:bookmarkEnd w:id="212"/>
      <w:bookmarkEnd w:id="213"/>
      <w:bookmarkEnd w:id="214"/>
      <w:bookmarkEnd w:id="215"/>
      <w:bookmarkEnd w:id="216"/>
      <w:bookmarkEnd w:id="217"/>
      <w:bookmarkEnd w:id="218"/>
      <w:r>
        <w:rPr>
          <w:rFonts w:ascii="Times New Roman" w:hAnsi="Times New Roman" w:cs="Times New Roman"/>
        </w:rPr>
        <w:t>；</w:t>
      </w:r>
    </w:p>
    <w:p>
      <w:pPr>
        <w:ind w:firstLine="560"/>
        <w:rPr>
          <w:rFonts w:ascii="Times New Roman" w:hAnsi="Times New Roman" w:eastAsia="仿宋" w:cs="Times New Roman"/>
          <w:color w:val="000000"/>
          <w:kern w:val="0"/>
          <w:szCs w:val="28"/>
        </w:rPr>
      </w:pPr>
      <w:bookmarkStart w:id="219" w:name="_Toc18849"/>
      <w:bookmarkStart w:id="220" w:name="_Toc22375"/>
      <w:bookmarkStart w:id="221" w:name="_Toc13696"/>
      <w:bookmarkStart w:id="222" w:name="_Toc13784"/>
      <w:r>
        <w:rPr>
          <w:rFonts w:ascii="Times New Roman" w:hAnsi="Times New Roman" w:cs="Times New Roman"/>
        </w:rPr>
        <w:t>（7）固体废物环境污染事件</w:t>
      </w:r>
      <w:bookmarkEnd w:id="219"/>
      <w:bookmarkEnd w:id="220"/>
      <w:bookmarkEnd w:id="221"/>
      <w:bookmarkEnd w:id="222"/>
      <w:r>
        <w:rPr>
          <w:rFonts w:ascii="Times New Roman" w:hAnsi="Times New Roman" w:cs="Times New Roman"/>
        </w:rPr>
        <w:t>。污水处理厂运行后，产生的固废主要为污水处理过程中产生的栅渣、沉砂、污泥、滤渣及工作人员产生的生活垃圾</w:t>
      </w:r>
      <w:r>
        <w:rPr>
          <w:rFonts w:ascii="Times New Roman" w:hAnsi="Times New Roman" w:eastAsia="仿宋" w:cs="Times New Roman"/>
          <w:color w:val="000000"/>
          <w:kern w:val="0"/>
          <w:szCs w:val="28"/>
        </w:rPr>
        <w:t>。</w:t>
      </w:r>
    </w:p>
    <w:p>
      <w:pPr>
        <w:pStyle w:val="2"/>
        <w:spacing w:line="360" w:lineRule="auto"/>
      </w:pPr>
      <w:bookmarkStart w:id="223" w:name="_Toc28584"/>
      <w:r>
        <w:rPr>
          <w:bCs/>
        </w:rPr>
        <w:t>4.3最大可信事故</w:t>
      </w:r>
      <w:bookmarkEnd w:id="223"/>
    </w:p>
    <w:p>
      <w:pPr>
        <w:ind w:firstLine="560"/>
        <w:rPr>
          <w:rFonts w:ascii="Times New Roman" w:hAnsi="Times New Roman" w:eastAsia="仿宋" w:cs="Times New Roman"/>
        </w:rPr>
      </w:pPr>
      <w:bookmarkStart w:id="224" w:name="_Toc31278"/>
      <w:bookmarkStart w:id="225" w:name="_Toc25533"/>
      <w:bookmarkStart w:id="226" w:name="_Toc16984"/>
      <w:r>
        <w:rPr>
          <w:rFonts w:ascii="Times New Roman" w:hAnsi="Times New Roman" w:eastAsia="仿宋" w:cs="Times New Roman"/>
        </w:rPr>
        <w:t>根据以上章节分析</w:t>
      </w:r>
      <w:r>
        <w:rPr>
          <w:rFonts w:ascii="Times New Roman" w:hAnsi="Times New Roman" w:cs="Times New Roman"/>
          <w:szCs w:val="28"/>
        </w:rPr>
        <w:t>西咸新区秦汉新城朝阳污水处理厂</w:t>
      </w:r>
      <w:r>
        <w:rPr>
          <w:rFonts w:ascii="Times New Roman" w:hAnsi="Times New Roman" w:eastAsia="仿宋" w:cs="Times New Roman"/>
        </w:rPr>
        <w:t>存在的最大可信事故如下：</w:t>
      </w:r>
    </w:p>
    <w:p>
      <w:pPr>
        <w:pStyle w:val="18"/>
        <w:spacing w:beforeAutospacing="0" w:afterAutospacing="0"/>
        <w:ind w:firstLine="560"/>
        <w:contextualSpacing/>
        <w:textAlignment w:val="baseline"/>
        <w:rPr>
          <w:rFonts w:ascii="Times New Roman" w:hAnsi="Times New Roman"/>
          <w:sz w:val="28"/>
          <w:szCs w:val="28"/>
        </w:rPr>
      </w:pPr>
      <w:bookmarkStart w:id="227" w:name="_Toc24442"/>
      <w:bookmarkStart w:id="228" w:name="_Toc7539"/>
      <w:bookmarkStart w:id="229" w:name="_Toc9811"/>
      <w:r>
        <w:rPr>
          <w:rFonts w:ascii="Times New Roman" w:hAnsi="Times New Roman"/>
          <w:sz w:val="28"/>
          <w:szCs w:val="28"/>
        </w:rPr>
        <w:t>（1）污水管网系统由于堵塞、破裂和接头处的破损或者暴雨期，造成大量污水外溢，从而进入渭河；</w:t>
      </w:r>
      <w:bookmarkEnd w:id="227"/>
      <w:bookmarkEnd w:id="228"/>
      <w:bookmarkEnd w:id="229"/>
    </w:p>
    <w:p>
      <w:pPr>
        <w:pStyle w:val="18"/>
        <w:spacing w:beforeAutospacing="0" w:afterAutospacing="0"/>
        <w:ind w:firstLine="560"/>
        <w:contextualSpacing/>
        <w:textAlignment w:val="baseline"/>
        <w:rPr>
          <w:rFonts w:ascii="Times New Roman" w:hAnsi="Times New Roman"/>
          <w:sz w:val="28"/>
          <w:szCs w:val="28"/>
        </w:rPr>
      </w:pPr>
      <w:bookmarkStart w:id="230" w:name="_Toc7980"/>
      <w:bookmarkStart w:id="231" w:name="_Toc28483"/>
      <w:bookmarkStart w:id="232" w:name="_Toc9486"/>
      <w:bookmarkStart w:id="233" w:name="_Toc30146"/>
      <w:r>
        <w:rPr>
          <w:rFonts w:ascii="Times New Roman" w:hAnsi="Times New Roman"/>
          <w:sz w:val="28"/>
          <w:szCs w:val="28"/>
        </w:rPr>
        <w:t>（2）污水泵站由于长时间停电或污水水泵损坏，排水不畅易引起污水漫溢；</w:t>
      </w:r>
      <w:bookmarkEnd w:id="230"/>
      <w:bookmarkEnd w:id="231"/>
      <w:bookmarkEnd w:id="232"/>
      <w:bookmarkEnd w:id="233"/>
    </w:p>
    <w:p>
      <w:pPr>
        <w:pStyle w:val="18"/>
        <w:spacing w:beforeAutospacing="0" w:afterAutospacing="0"/>
        <w:ind w:firstLine="560"/>
        <w:contextualSpacing/>
        <w:textAlignment w:val="baseline"/>
        <w:rPr>
          <w:rFonts w:ascii="Times New Roman" w:hAnsi="Times New Roman"/>
          <w:sz w:val="28"/>
          <w:szCs w:val="28"/>
        </w:rPr>
      </w:pPr>
      <w:bookmarkStart w:id="234" w:name="_Toc16449"/>
      <w:bookmarkStart w:id="235" w:name="_Toc26489"/>
      <w:bookmarkStart w:id="236" w:name="_Toc25575"/>
      <w:bookmarkStart w:id="237" w:name="_Toc17162"/>
      <w:r>
        <w:rPr>
          <w:rFonts w:ascii="Times New Roman" w:hAnsi="Times New Roman"/>
          <w:sz w:val="28"/>
          <w:szCs w:val="28"/>
        </w:rPr>
        <w:t>（3）污水处理厂由于停电、设备损坏、污水处理设施运行不正常、停检修等造成的大量污水未经处理直接排入渭河，造成事故污染；</w:t>
      </w:r>
      <w:bookmarkEnd w:id="234"/>
      <w:bookmarkEnd w:id="235"/>
      <w:bookmarkEnd w:id="236"/>
      <w:bookmarkEnd w:id="237"/>
    </w:p>
    <w:p>
      <w:pPr>
        <w:pStyle w:val="18"/>
        <w:spacing w:beforeAutospacing="0" w:afterAutospacing="0"/>
        <w:ind w:firstLine="560"/>
        <w:contextualSpacing/>
        <w:textAlignment w:val="baseline"/>
        <w:rPr>
          <w:rFonts w:ascii="Times New Roman" w:hAnsi="Times New Roman"/>
          <w:sz w:val="28"/>
          <w:szCs w:val="28"/>
        </w:rPr>
      </w:pPr>
      <w:bookmarkStart w:id="238" w:name="_Toc29141"/>
      <w:bookmarkStart w:id="239" w:name="_Toc13802"/>
      <w:bookmarkStart w:id="240" w:name="_Toc5221"/>
      <w:bookmarkStart w:id="241" w:name="_Toc31545"/>
      <w:r>
        <w:rPr>
          <w:rFonts w:ascii="Times New Roman" w:hAnsi="Times New Roman"/>
          <w:sz w:val="28"/>
          <w:szCs w:val="28"/>
        </w:rPr>
        <w:t>（4）</w:t>
      </w:r>
      <w:bookmarkEnd w:id="238"/>
      <w:bookmarkEnd w:id="239"/>
      <w:bookmarkEnd w:id="240"/>
      <w:r>
        <w:rPr>
          <w:rFonts w:ascii="Times New Roman" w:hAnsi="Times New Roman"/>
          <w:sz w:val="28"/>
          <w:szCs w:val="28"/>
        </w:rPr>
        <w:t>污水进水量超过本污水处理站的最大处理能力，造成污水溢流事件</w:t>
      </w:r>
      <w:bookmarkEnd w:id="241"/>
      <w:r>
        <w:rPr>
          <w:rFonts w:ascii="Times New Roman" w:hAnsi="Times New Roman"/>
          <w:sz w:val="28"/>
          <w:szCs w:val="28"/>
        </w:rPr>
        <w:t>；</w:t>
      </w:r>
    </w:p>
    <w:p>
      <w:pPr>
        <w:ind w:firstLine="560"/>
        <w:rPr>
          <w:rFonts w:ascii="Times New Roman" w:hAnsi="Times New Roman" w:cs="Times New Roman"/>
          <w:szCs w:val="28"/>
        </w:rPr>
      </w:pPr>
      <w:bookmarkStart w:id="242" w:name="_Toc15051"/>
      <w:r>
        <w:rPr>
          <w:rFonts w:ascii="Times New Roman" w:hAnsi="Times New Roman" w:cs="Times New Roman"/>
          <w:szCs w:val="28"/>
        </w:rPr>
        <w:t>（5）污泥池未及时处理，造成污泥外溢或污泥随意堆放，造成区域环境内恶臭气体浓度增加</w:t>
      </w:r>
      <w:bookmarkEnd w:id="242"/>
      <w:r>
        <w:rPr>
          <w:rFonts w:ascii="Times New Roman" w:hAnsi="Times New Roman" w:cs="Times New Roman"/>
          <w:szCs w:val="28"/>
        </w:rPr>
        <w:t>；</w:t>
      </w:r>
    </w:p>
    <w:p>
      <w:pPr>
        <w:ind w:firstLine="560"/>
        <w:rPr>
          <w:rFonts w:ascii="Times New Roman" w:hAnsi="Times New Roman" w:eastAsia="仿宋" w:cs="Times New Roman"/>
          <w:kern w:val="0"/>
          <w:szCs w:val="28"/>
        </w:rPr>
      </w:pPr>
      <w:r>
        <w:rPr>
          <w:rFonts w:ascii="Times New Roman" w:hAnsi="Times New Roman" w:eastAsia="仿宋" w:cs="Times New Roman"/>
          <w:kern w:val="0"/>
          <w:szCs w:val="28"/>
        </w:rPr>
        <w:t>（6）硫酸、盐酸、PAM、PAC发生泄漏造成地下水或土壤污染</w:t>
      </w:r>
      <w:r>
        <w:rPr>
          <w:rFonts w:ascii="Times New Roman" w:hAnsi="Times New Roman" w:eastAsia="仿宋" w:cs="Times New Roman"/>
        </w:rPr>
        <w:t>。</w:t>
      </w:r>
    </w:p>
    <w:p>
      <w:pPr>
        <w:pStyle w:val="5"/>
        <w:spacing w:line="360" w:lineRule="auto"/>
      </w:pPr>
      <w:bookmarkStart w:id="243" w:name="_Toc8861"/>
      <w:bookmarkStart w:id="244" w:name="_Toc13724"/>
      <w:bookmarkStart w:id="245" w:name="_Toc8171"/>
      <w:r>
        <w:t>4.3.1</w:t>
      </w:r>
      <w:bookmarkEnd w:id="243"/>
      <w:bookmarkStart w:id="246" w:name="_Toc25247"/>
      <w:r>
        <w:t>水环境影响分析</w:t>
      </w:r>
      <w:bookmarkEnd w:id="244"/>
      <w:bookmarkEnd w:id="245"/>
      <w:bookmarkEnd w:id="246"/>
    </w:p>
    <w:p>
      <w:pPr>
        <w:ind w:firstLine="560"/>
        <w:rPr>
          <w:rFonts w:ascii="Times New Roman" w:hAnsi="Times New Roman" w:eastAsia="仿宋" w:cs="Times New Roman"/>
        </w:rPr>
      </w:pPr>
      <w:r>
        <w:rPr>
          <w:rFonts w:ascii="Times New Roman" w:hAnsi="Times New Roman" w:cs="Times New Roman"/>
          <w:szCs w:val="28"/>
        </w:rPr>
        <w:t>西咸新区秦汉新城朝阳污水处理厂</w:t>
      </w:r>
      <w:r>
        <w:rPr>
          <w:rFonts w:ascii="Times New Roman" w:hAnsi="Times New Roman" w:eastAsia="仿宋" w:cs="Times New Roman"/>
          <w:kern w:val="0"/>
          <w:szCs w:val="28"/>
        </w:rPr>
        <w:t>水环境</w:t>
      </w:r>
      <w:r>
        <w:rPr>
          <w:rFonts w:ascii="Times New Roman" w:hAnsi="Times New Roman" w:eastAsia="仿宋" w:cs="Times New Roman"/>
        </w:rPr>
        <w:t>影响主要为生产废水、化验室废水、生活污水和雨水对环境产生的影响；</w:t>
      </w:r>
      <w:r>
        <w:rPr>
          <w:rFonts w:ascii="Times New Roman" w:hAnsi="Times New Roman" w:eastAsia="仿宋" w:cs="Times New Roman"/>
          <w:color w:val="000000"/>
          <w:kern w:val="0"/>
          <w:szCs w:val="28"/>
        </w:rPr>
        <w:t>厂区采用雨污分流，</w:t>
      </w:r>
      <w:r>
        <w:rPr>
          <w:rFonts w:ascii="Times New Roman" w:hAnsi="Times New Roman" w:eastAsia="仿宋" w:cs="Times New Roman"/>
        </w:rPr>
        <w:t>所有废水经污水处理站处理达到</w:t>
      </w:r>
      <w:r>
        <w:rPr>
          <w:rFonts w:ascii="Times New Roman" w:hAnsi="Times New Roman" w:cs="Times New Roman"/>
          <w:szCs w:val="28"/>
        </w:rPr>
        <w:t>《城镇污水处理厂污染物排放标准》（GB 18918-2002）的一级A标准</w:t>
      </w:r>
      <w:r>
        <w:rPr>
          <w:rFonts w:ascii="Times New Roman" w:hAnsi="Times New Roman" w:eastAsia="仿宋" w:cs="Times New Roman"/>
        </w:rPr>
        <w:t>后外排入渭河。</w:t>
      </w:r>
      <w:r>
        <w:rPr>
          <w:rFonts w:ascii="Times New Roman" w:hAnsi="Times New Roman" w:eastAsia="仿宋" w:cs="Times New Roman"/>
          <w:color w:val="000000"/>
          <w:kern w:val="0"/>
          <w:szCs w:val="28"/>
        </w:rPr>
        <w:t>厂区内储油桶储存</w:t>
      </w:r>
      <w:r>
        <w:rPr>
          <w:rFonts w:ascii="Times New Roman" w:hAnsi="Times New Roman" w:eastAsia="仿宋" w:cs="Times New Roman"/>
        </w:rPr>
        <w:t>的废机油泄漏或渗漏，对附近的土壤和地下水质易造成污染。本厂采用了防渗技术、密封材料以及防腐处理措施，可有效防止油桶跑冒漏滴事故，地面也均有沥青水泥固化。</w:t>
      </w:r>
    </w:p>
    <w:p>
      <w:pPr>
        <w:pStyle w:val="5"/>
        <w:spacing w:line="360" w:lineRule="auto"/>
      </w:pPr>
      <w:bookmarkStart w:id="247" w:name="_Toc19780"/>
      <w:bookmarkStart w:id="248" w:name="_Toc30657"/>
      <w:bookmarkStart w:id="249" w:name="_Toc30495"/>
      <w:bookmarkStart w:id="250" w:name="_Toc23949"/>
      <w:r>
        <w:t>4.3.2大气环境影响分析</w:t>
      </w:r>
      <w:bookmarkEnd w:id="247"/>
      <w:bookmarkEnd w:id="248"/>
      <w:bookmarkEnd w:id="249"/>
      <w:bookmarkEnd w:id="250"/>
    </w:p>
    <w:p>
      <w:pPr>
        <w:ind w:firstLine="560"/>
        <w:rPr>
          <w:rFonts w:ascii="Times New Roman" w:hAnsi="Times New Roman" w:eastAsia="仿宋" w:cs="Times New Roman"/>
        </w:rPr>
      </w:pPr>
      <w:r>
        <w:rPr>
          <w:rFonts w:ascii="Times New Roman" w:hAnsi="Times New Roman" w:cs="Times New Roman"/>
          <w:szCs w:val="28"/>
        </w:rPr>
        <w:t>西咸新区秦汉新城朝阳污水处理厂散发恶臭气体，主要成分为氨气和硫化氢，属于无组织排放源，产生的臭气主要来源于格栅集水池、CASS池及污泥脱水间。本厂区臭气产生源均设于地下，并对各构筑物加盖，因此本厂产生的臭气可满足《城镇污水处理厂污染物排放标准》（GB18918-2002）中污水处理厂界废气排放最高允许浓度的二级标准。根据《城镇污水处理厂污染物排放标准》（GB 18918-2002）规定，西咸新区秦汉新城朝阳污水处理厂设定的卫生防护距离为200m，其处理规模为5×10</w:t>
      </w:r>
      <w:r>
        <w:rPr>
          <w:rFonts w:ascii="Times New Roman" w:hAnsi="Times New Roman" w:cs="Times New Roman"/>
          <w:szCs w:val="28"/>
          <w:vertAlign w:val="superscript"/>
        </w:rPr>
        <w:t>4</w:t>
      </w:r>
      <w:r>
        <w:rPr>
          <w:rFonts w:ascii="Times New Roman" w:hAnsi="Times New Roman" w:cs="Times New Roman"/>
          <w:szCs w:val="28"/>
        </w:rPr>
        <w:t>m</w:t>
      </w:r>
      <w:r>
        <w:rPr>
          <w:rFonts w:ascii="Times New Roman" w:hAnsi="Times New Roman" w:cs="Times New Roman"/>
          <w:szCs w:val="28"/>
          <w:vertAlign w:val="superscript"/>
        </w:rPr>
        <w:t>3</w:t>
      </w:r>
      <w:r>
        <w:rPr>
          <w:rFonts w:ascii="Times New Roman" w:hAnsi="Times New Roman" w:cs="Times New Roman"/>
          <w:szCs w:val="28"/>
        </w:rPr>
        <w:t>/d，目前处理规模为5×10</w:t>
      </w:r>
      <w:r>
        <w:rPr>
          <w:rFonts w:ascii="Times New Roman" w:hAnsi="Times New Roman" w:cs="Times New Roman"/>
          <w:szCs w:val="28"/>
          <w:vertAlign w:val="superscript"/>
        </w:rPr>
        <w:t>3</w:t>
      </w:r>
      <w:r>
        <w:rPr>
          <w:rFonts w:ascii="Times New Roman" w:hAnsi="Times New Roman" w:cs="Times New Roman"/>
          <w:szCs w:val="28"/>
        </w:rPr>
        <w:t>m</w:t>
      </w:r>
      <w:r>
        <w:rPr>
          <w:rFonts w:ascii="Times New Roman" w:hAnsi="Times New Roman" w:cs="Times New Roman"/>
          <w:szCs w:val="28"/>
          <w:vertAlign w:val="superscript"/>
        </w:rPr>
        <w:t>3</w:t>
      </w:r>
      <w:r>
        <w:rPr>
          <w:rFonts w:ascii="Times New Roman" w:hAnsi="Times New Roman" w:cs="Times New Roman"/>
          <w:szCs w:val="28"/>
        </w:rPr>
        <w:t>/d，远小于本厂的处理规模，因此本厂的卫生防护距离设为200m是合理的，满足卫生防护距离要求</w:t>
      </w:r>
      <w:r>
        <w:rPr>
          <w:rFonts w:ascii="Times New Roman" w:hAnsi="Times New Roman" w:eastAsia="仿宋" w:cs="Times New Roman"/>
        </w:rPr>
        <w:t>。</w:t>
      </w:r>
    </w:p>
    <w:bookmarkEnd w:id="224"/>
    <w:bookmarkEnd w:id="225"/>
    <w:p>
      <w:pPr>
        <w:pStyle w:val="5"/>
        <w:spacing w:line="360" w:lineRule="auto"/>
      </w:pPr>
      <w:bookmarkStart w:id="251" w:name="_Toc16001"/>
      <w:bookmarkStart w:id="252" w:name="_Toc147"/>
      <w:bookmarkStart w:id="253" w:name="_Toc14289"/>
      <w:r>
        <w:t>4.3.3生态环境影响分析</w:t>
      </w:r>
      <w:bookmarkEnd w:id="251"/>
      <w:bookmarkEnd w:id="252"/>
      <w:bookmarkEnd w:id="253"/>
    </w:p>
    <w:p>
      <w:pPr>
        <w:ind w:firstLine="560"/>
        <w:rPr>
          <w:rFonts w:ascii="Times New Roman" w:hAnsi="Times New Roman" w:eastAsia="仿宋" w:cs="Times New Roman"/>
        </w:rPr>
      </w:pPr>
      <w:r>
        <w:rPr>
          <w:rFonts w:ascii="Times New Roman" w:hAnsi="Times New Roman" w:eastAsia="仿宋" w:cs="Times New Roman"/>
        </w:rPr>
        <w:t>本厂对区域生态环境的影响主要集中在施工期，其主要生态影响为；</w:t>
      </w:r>
    </w:p>
    <w:p>
      <w:pPr>
        <w:ind w:firstLine="560"/>
        <w:rPr>
          <w:rFonts w:ascii="Times New Roman" w:hAnsi="Times New Roman" w:eastAsia="仿宋" w:cs="Times New Roman"/>
        </w:rPr>
      </w:pPr>
      <w:r>
        <w:rPr>
          <w:rFonts w:ascii="Times New Roman" w:hAnsi="Times New Roman" w:eastAsia="仿宋" w:cs="Times New Roman"/>
        </w:rPr>
        <w:t>（1）植被破坏：在建设期进行土方的开挖，会对原有植被造成破坏；</w:t>
      </w:r>
    </w:p>
    <w:p>
      <w:pPr>
        <w:ind w:firstLine="560"/>
        <w:rPr>
          <w:rFonts w:ascii="Times New Roman" w:hAnsi="Times New Roman" w:eastAsia="仿宋" w:cs="Times New Roman"/>
        </w:rPr>
      </w:pPr>
      <w:r>
        <w:rPr>
          <w:rFonts w:ascii="Times New Roman" w:hAnsi="Times New Roman" w:eastAsia="仿宋" w:cs="Times New Roman"/>
        </w:rPr>
        <w:t>（2）对原有地表有一定的扰动和破坏，易造成水土流失。</w:t>
      </w:r>
    </w:p>
    <w:p>
      <w:pPr>
        <w:ind w:firstLine="560"/>
        <w:rPr>
          <w:rFonts w:ascii="Times New Roman" w:hAnsi="Times New Roman" w:eastAsia="仿宋" w:cs="Times New Roman"/>
        </w:rPr>
      </w:pPr>
      <w:r>
        <w:rPr>
          <w:rFonts w:ascii="Times New Roman" w:hAnsi="Times New Roman" w:eastAsia="仿宋" w:cs="Times New Roman"/>
        </w:rPr>
        <w:t>本厂已按环评要求建设道路及建筑物两侧加强植树种草、绿化周围环境等措施对周围生态环境的影响很小</w:t>
      </w:r>
      <w:r>
        <w:rPr>
          <w:rFonts w:ascii="Times New Roman" w:hAnsi="Times New Roman" w:cs="Times New Roman"/>
          <w:szCs w:val="28"/>
        </w:rPr>
        <w:t>。</w:t>
      </w:r>
    </w:p>
    <w:p>
      <w:pPr>
        <w:ind w:firstLine="560"/>
        <w:rPr>
          <w:rFonts w:ascii="Times New Roman" w:hAnsi="Times New Roman" w:eastAsia="仿宋" w:cs="Times New Roman"/>
        </w:rPr>
        <w:sectPr>
          <w:pgSz w:w="11906" w:h="16838"/>
          <w:pgMar w:top="1417" w:right="1417" w:bottom="1417" w:left="1417" w:header="851" w:footer="992" w:gutter="0"/>
          <w:cols w:space="0" w:num="1"/>
          <w:docGrid w:type="lines" w:linePitch="389" w:charSpace="0"/>
        </w:sectPr>
      </w:pPr>
    </w:p>
    <w:p>
      <w:pPr>
        <w:pStyle w:val="3"/>
        <w:spacing w:before="46"/>
        <w:rPr>
          <w:szCs w:val="32"/>
        </w:rPr>
      </w:pPr>
      <w:bookmarkStart w:id="254" w:name="_Toc13370"/>
      <w:r>
        <w:rPr>
          <w:szCs w:val="32"/>
        </w:rPr>
        <w:t>5现有环境风险防控和应急措施差距分析</w:t>
      </w:r>
      <w:bookmarkEnd w:id="226"/>
      <w:bookmarkEnd w:id="254"/>
    </w:p>
    <w:p>
      <w:pPr>
        <w:ind w:firstLine="560"/>
        <w:rPr>
          <w:rFonts w:ascii="Times New Roman" w:hAnsi="Times New Roman" w:eastAsia="仿宋" w:cs="Times New Roman"/>
        </w:rPr>
      </w:pPr>
      <w:r>
        <w:rPr>
          <w:rFonts w:ascii="Times New Roman" w:hAnsi="Times New Roman" w:eastAsia="仿宋" w:cs="Times New Roman"/>
          <w:kern w:val="0"/>
          <w:szCs w:val="28"/>
        </w:rPr>
        <w:t>通过现场踏勘以及资料的收集，</w:t>
      </w:r>
      <w:r>
        <w:rPr>
          <w:rFonts w:ascii="Times New Roman" w:hAnsi="Times New Roman" w:eastAsia="仿宋" w:cs="Times New Roman"/>
        </w:rPr>
        <w:t>本次评估从以下五个方面对企业现有环境风险防控与应急措施的完备性、准确性和可靠性进行分析，找出差距、问题，提出需要整改的短期、中期、长期目标内容。</w:t>
      </w:r>
    </w:p>
    <w:p>
      <w:pPr>
        <w:pStyle w:val="5"/>
        <w:spacing w:before="120" w:after="120"/>
        <w:ind w:left="0" w:leftChars="0"/>
      </w:pPr>
      <w:bookmarkStart w:id="255" w:name="_Toc371925265"/>
      <w:bookmarkStart w:id="256" w:name="_Toc448851197"/>
      <w:bookmarkStart w:id="257" w:name="_Toc3922"/>
      <w:r>
        <w:t>5.1</w:t>
      </w:r>
      <w:bookmarkEnd w:id="255"/>
      <w:r>
        <w:t>环境风险防控和应急措施制度建设情况</w:t>
      </w:r>
      <w:bookmarkEnd w:id="256"/>
      <w:bookmarkEnd w:id="257"/>
    </w:p>
    <w:p>
      <w:pPr>
        <w:ind w:firstLine="560"/>
        <w:rPr>
          <w:rFonts w:ascii="Times New Roman" w:hAnsi="Times New Roman" w:eastAsia="仿宋" w:cs="Times New Roman"/>
        </w:rPr>
      </w:pPr>
      <w:r>
        <w:rPr>
          <w:rFonts w:ascii="Times New Roman" w:hAnsi="Times New Roman" w:eastAsia="仿宋" w:cs="Times New Roman"/>
        </w:rPr>
        <w:t>（1）现场考察发现，</w:t>
      </w:r>
      <w:r>
        <w:rPr>
          <w:rFonts w:ascii="Times New Roman" w:hAnsi="Times New Roman" w:cs="Times New Roman"/>
          <w:szCs w:val="28"/>
        </w:rPr>
        <w:t>西咸新区秦汉新城朝阳污水处理厂</w:t>
      </w:r>
      <w:r>
        <w:rPr>
          <w:rFonts w:ascii="Times New Roman" w:hAnsi="Times New Roman" w:eastAsia="仿宋" w:cs="Times New Roman"/>
        </w:rPr>
        <w:t>环境风险防控与应急措施制度建设不够完善。</w:t>
      </w:r>
    </w:p>
    <w:p>
      <w:pPr>
        <w:ind w:firstLine="560"/>
        <w:rPr>
          <w:rFonts w:ascii="Times New Roman" w:hAnsi="Times New Roman" w:eastAsia="仿宋" w:cs="Times New Roman"/>
        </w:rPr>
      </w:pPr>
      <w:r>
        <w:rPr>
          <w:rFonts w:ascii="Times New Roman" w:hAnsi="Times New Roman" w:eastAsia="仿宋" w:cs="Times New Roman"/>
        </w:rPr>
        <w:t>（2）环境风险防控重点岗位的责任人不够明确，应按要求组建突发环境事件应急救援领导指挥部。以各职能部门和专业队伍为主成立应急救援指挥部，各专业应急队伍包括：抢险救援、后勤保障、治安、通讯、物资供应组和应急监测组等应急小组，指挥机构及各专业救援组职责到人。</w:t>
      </w:r>
    </w:p>
    <w:p>
      <w:pPr>
        <w:ind w:firstLine="560"/>
        <w:rPr>
          <w:rFonts w:ascii="Times New Roman" w:hAnsi="Times New Roman" w:eastAsia="仿宋" w:cs="Times New Roman"/>
        </w:rPr>
      </w:pPr>
      <w:r>
        <w:rPr>
          <w:rFonts w:ascii="Times New Roman" w:hAnsi="Times New Roman" w:eastAsia="仿宋" w:cs="Times New Roman"/>
        </w:rPr>
        <w:t>（3）安全生产隐患定期排查，环境风险设施定期巡检和维护责任制度尚未落实。重点区域无专人巡检，日常生产巡检过程无记录。</w:t>
      </w:r>
    </w:p>
    <w:p>
      <w:pPr>
        <w:pStyle w:val="5"/>
        <w:spacing w:before="120" w:after="120"/>
        <w:ind w:left="0" w:leftChars="0"/>
      </w:pPr>
      <w:bookmarkStart w:id="258" w:name="_Toc30524"/>
      <w:r>
        <w:t>5.2现有风险防控和应急措施</w:t>
      </w:r>
      <w:bookmarkEnd w:id="258"/>
    </w:p>
    <w:p>
      <w:pPr>
        <w:ind w:firstLine="560"/>
        <w:rPr>
          <w:rFonts w:ascii="Times New Roman" w:hAnsi="Times New Roman" w:eastAsia="仿宋" w:cs="Times New Roman"/>
        </w:rPr>
      </w:pPr>
      <w:r>
        <w:rPr>
          <w:rFonts w:ascii="Times New Roman" w:hAnsi="Times New Roman" w:cs="Times New Roman"/>
          <w:szCs w:val="28"/>
        </w:rPr>
        <w:t>西咸新区秦汉新城朝阳污水处理厂</w:t>
      </w:r>
      <w:r>
        <w:rPr>
          <w:rFonts w:ascii="Times New Roman" w:hAnsi="Times New Roman" w:eastAsia="仿宋" w:cs="Times New Roman"/>
        </w:rPr>
        <w:t>现有环境风险防控与应急措施的差距分析，见表5.2-1。</w:t>
      </w:r>
    </w:p>
    <w:p>
      <w:pPr>
        <w:ind w:firstLine="0" w:firstLineChars="0"/>
        <w:jc w:val="center"/>
        <w:rPr>
          <w:rFonts w:ascii="Times New Roman" w:hAnsi="Times New Roman" w:eastAsia="仿宋" w:cs="Times New Roman"/>
          <w:b/>
          <w:sz w:val="24"/>
        </w:rPr>
      </w:pPr>
      <w:r>
        <w:rPr>
          <w:rFonts w:ascii="Times New Roman" w:hAnsi="Times New Roman" w:eastAsia="仿宋" w:cs="Times New Roman"/>
          <w:b/>
          <w:sz w:val="24"/>
        </w:rPr>
        <w:t>表5.2-1 现有环境风险防控与应急措施差距分析表</w:t>
      </w:r>
    </w:p>
    <w:tbl>
      <w:tblPr>
        <w:tblStyle w:val="21"/>
        <w:tblW w:w="9288"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55"/>
        <w:gridCol w:w="2084"/>
        <w:gridCol w:w="614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55" w:type="dxa"/>
            <w:tcBorders>
              <w:tl2br w:val="nil"/>
              <w:tr2bl w:val="nil"/>
            </w:tcBorders>
            <w:vAlign w:val="center"/>
          </w:tcPr>
          <w:p>
            <w:pPr>
              <w:spacing w:line="300" w:lineRule="exact"/>
              <w:ind w:firstLine="0" w:firstLineChars="0"/>
              <w:jc w:val="center"/>
              <w:rPr>
                <w:rFonts w:ascii="Times New Roman" w:hAnsi="Times New Roman" w:eastAsia="仿宋GB_2312" w:cs="Times New Roman"/>
                <w:b/>
                <w:bCs/>
                <w:sz w:val="24"/>
                <w:szCs w:val="24"/>
              </w:rPr>
            </w:pPr>
            <w:r>
              <w:rPr>
                <w:rFonts w:ascii="Times New Roman" w:hAnsi="Times New Roman" w:eastAsia="仿宋GB_2312" w:cs="Times New Roman"/>
                <w:b/>
                <w:bCs/>
                <w:sz w:val="24"/>
                <w:szCs w:val="24"/>
              </w:rPr>
              <w:t>序号</w:t>
            </w:r>
          </w:p>
        </w:tc>
        <w:tc>
          <w:tcPr>
            <w:tcW w:w="2084" w:type="dxa"/>
            <w:tcBorders>
              <w:tl2br w:val="nil"/>
              <w:tr2bl w:val="nil"/>
            </w:tcBorders>
            <w:vAlign w:val="center"/>
          </w:tcPr>
          <w:p>
            <w:pPr>
              <w:spacing w:line="300" w:lineRule="exact"/>
              <w:ind w:firstLine="0" w:firstLineChars="0"/>
              <w:jc w:val="center"/>
              <w:rPr>
                <w:rFonts w:ascii="Times New Roman" w:hAnsi="Times New Roman" w:eastAsia="仿宋GB_2312" w:cs="Times New Roman"/>
                <w:b/>
                <w:bCs/>
                <w:sz w:val="24"/>
                <w:szCs w:val="24"/>
              </w:rPr>
            </w:pPr>
            <w:r>
              <w:rPr>
                <w:rFonts w:ascii="Times New Roman" w:hAnsi="Times New Roman" w:eastAsia="仿宋GB_2312" w:cs="Times New Roman"/>
                <w:b/>
                <w:bCs/>
                <w:sz w:val="24"/>
                <w:szCs w:val="24"/>
              </w:rPr>
              <w:t>项目</w:t>
            </w:r>
          </w:p>
        </w:tc>
        <w:tc>
          <w:tcPr>
            <w:tcW w:w="6149" w:type="dxa"/>
            <w:tcBorders>
              <w:tl2br w:val="nil"/>
              <w:tr2bl w:val="nil"/>
            </w:tcBorders>
            <w:vAlign w:val="center"/>
          </w:tcPr>
          <w:p>
            <w:pPr>
              <w:spacing w:line="300" w:lineRule="exact"/>
              <w:ind w:firstLine="0" w:firstLineChars="0"/>
              <w:jc w:val="center"/>
              <w:rPr>
                <w:rFonts w:ascii="Times New Roman" w:hAnsi="Times New Roman" w:eastAsia="仿宋GB_2312" w:cs="Times New Roman"/>
                <w:b/>
                <w:bCs/>
                <w:sz w:val="24"/>
                <w:szCs w:val="24"/>
              </w:rPr>
            </w:pPr>
            <w:r>
              <w:rPr>
                <w:rFonts w:ascii="Times New Roman" w:hAnsi="Times New Roman" w:eastAsia="仿宋GB_2312" w:cs="Times New Roman"/>
                <w:b/>
                <w:bCs/>
                <w:sz w:val="24"/>
                <w:szCs w:val="24"/>
              </w:rPr>
              <w:t>本公司实际情况及差距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5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20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消防设施</w:t>
            </w:r>
          </w:p>
        </w:tc>
        <w:tc>
          <w:tcPr>
            <w:tcW w:w="614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已按环评要求配置消防设施及器材。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5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20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环境管理制度</w:t>
            </w:r>
          </w:p>
        </w:tc>
        <w:tc>
          <w:tcPr>
            <w:tcW w:w="614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已按照要求建立环保管理机构及正常运行的环境管理制度，但未定期组织环境风险与环境应急知识宣传与培训。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5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20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信息报告制度</w:t>
            </w:r>
          </w:p>
        </w:tc>
        <w:tc>
          <w:tcPr>
            <w:tcW w:w="614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已经建立突发环境事件信息报告制度，但需要进一步完善，需加设安全环保组。</w:t>
            </w:r>
          </w:p>
        </w:tc>
      </w:tr>
    </w:tbl>
    <w:p>
      <w:pPr>
        <w:pStyle w:val="5"/>
        <w:spacing w:before="120" w:after="120"/>
        <w:ind w:left="0" w:leftChars="0"/>
      </w:pPr>
      <w:bookmarkStart w:id="259" w:name="_Toc21851"/>
      <w:r>
        <w:t>5.3环境应急物资</w:t>
      </w:r>
      <w:bookmarkEnd w:id="259"/>
    </w:p>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表5.3-1 现有应急物资及装备</w:t>
      </w:r>
    </w:p>
    <w:tbl>
      <w:tblPr>
        <w:tblStyle w:val="21"/>
        <w:tblW w:w="9174"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017"/>
        <w:gridCol w:w="1417"/>
        <w:gridCol w:w="1890"/>
        <w:gridCol w:w="1395"/>
        <w:gridCol w:w="1095"/>
        <w:gridCol w:w="15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bookmarkStart w:id="260" w:name="_Toc448851202"/>
            <w:r>
              <w:rPr>
                <w:rFonts w:ascii="Times New Roman" w:hAnsi="Times New Roman" w:eastAsia="仿宋" w:cs="Times New Roman"/>
                <w:sz w:val="21"/>
                <w:szCs w:val="21"/>
              </w:rPr>
              <w:t>序号</w:t>
            </w:r>
          </w:p>
        </w:tc>
        <w:tc>
          <w:tcPr>
            <w:tcW w:w="2434" w:type="dxa"/>
            <w:gridSpan w:val="2"/>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类别</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名称</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单位</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数量</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存放地点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017"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内部应急救援力量</w:t>
            </w:r>
          </w:p>
        </w:tc>
        <w:tc>
          <w:tcPr>
            <w:tcW w:w="1417"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电器设备</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应急灯</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60</w:t>
            </w:r>
          </w:p>
        </w:tc>
        <w:tc>
          <w:tcPr>
            <w:tcW w:w="1552"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各车间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消防设备</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消防箱</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25</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消防栓</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消防带</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 m</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干粉灭火器</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55</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物资储备</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应急池</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座 50 m</w:t>
            </w:r>
            <w:r>
              <w:rPr>
                <w:rFonts w:ascii="Times New Roman" w:hAnsi="Times New Roman" w:eastAsia="仿宋" w:cs="Times New Roman"/>
                <w:sz w:val="21"/>
                <w:szCs w:val="21"/>
                <w:vertAlign w:val="superscript"/>
              </w:rPr>
              <w:t>3</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厂区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铁铲</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机械装备</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电焊机</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工程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9</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个人防护</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防酸服</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套</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Merge w:val="restart"/>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各车间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10</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防护面罩</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防酸口罩</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化学护目镜</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副</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安全帽</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安全带</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m</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w:t>
            </w:r>
          </w:p>
        </w:tc>
        <w:tc>
          <w:tcPr>
            <w:tcW w:w="1552"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医疗救援</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急救箱</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808"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16</w:t>
            </w:r>
          </w:p>
        </w:tc>
        <w:tc>
          <w:tcPr>
            <w:tcW w:w="1017" w:type="dxa"/>
            <w:vMerge w:val="continue"/>
            <w:vAlign w:val="center"/>
          </w:tcPr>
          <w:p>
            <w:pPr>
              <w:spacing w:line="280" w:lineRule="exact"/>
              <w:ind w:firstLine="0" w:firstLineChars="0"/>
              <w:jc w:val="center"/>
              <w:rPr>
                <w:rFonts w:ascii="Times New Roman" w:hAnsi="Times New Roman" w:eastAsia="仿宋" w:cs="Times New Roman"/>
                <w:sz w:val="21"/>
                <w:szCs w:val="21"/>
              </w:rPr>
            </w:pPr>
          </w:p>
        </w:tc>
        <w:tc>
          <w:tcPr>
            <w:tcW w:w="1417"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报警系统</w:t>
            </w:r>
          </w:p>
        </w:tc>
        <w:tc>
          <w:tcPr>
            <w:tcW w:w="1890"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对讲机</w:t>
            </w:r>
          </w:p>
        </w:tc>
        <w:tc>
          <w:tcPr>
            <w:tcW w:w="13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套</w:t>
            </w:r>
          </w:p>
        </w:tc>
        <w:tc>
          <w:tcPr>
            <w:tcW w:w="1095"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552" w:type="dxa"/>
            <w:vAlign w:val="center"/>
          </w:tcPr>
          <w:p>
            <w:pPr>
              <w:spacing w:line="280" w:lineRule="exac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消防队</w:t>
            </w:r>
          </w:p>
        </w:tc>
      </w:tr>
    </w:tbl>
    <w:p>
      <w:pPr>
        <w:pStyle w:val="5"/>
        <w:spacing w:before="120" w:after="120"/>
        <w:ind w:left="0" w:leftChars="0"/>
      </w:pPr>
      <w:bookmarkStart w:id="261" w:name="_Toc13597"/>
      <w:r>
        <w:t>5.4需要整改的短期、中期和长期项目内容</w:t>
      </w:r>
      <w:bookmarkEnd w:id="260"/>
      <w:bookmarkEnd w:id="261"/>
    </w:p>
    <w:p>
      <w:pPr>
        <w:ind w:firstLine="560"/>
        <w:rPr>
          <w:rFonts w:ascii="Times New Roman" w:hAnsi="Times New Roman" w:eastAsia="仿宋" w:cs="Times New Roman"/>
          <w:szCs w:val="28"/>
        </w:rPr>
      </w:pPr>
      <w:r>
        <w:rPr>
          <w:rFonts w:ascii="Times New Roman" w:hAnsi="Times New Roman" w:cs="Times New Roman"/>
          <w:szCs w:val="28"/>
        </w:rPr>
        <w:t>西咸新区秦汉新城朝阳污水处理厂</w:t>
      </w:r>
      <w:r>
        <w:rPr>
          <w:rFonts w:ascii="Times New Roman" w:hAnsi="Times New Roman" w:eastAsia="仿宋" w:cs="Times New Roman"/>
          <w:szCs w:val="28"/>
        </w:rPr>
        <w:t>针对本次排查出来的每一项差距和隐患，根据其危害性、紧迫性和治理时间的长短，提出需要完成整改的期限，详见表5.4-1。</w:t>
      </w:r>
    </w:p>
    <w:p>
      <w:pPr>
        <w:ind w:firstLine="0" w:firstLineChars="0"/>
        <w:jc w:val="center"/>
        <w:rPr>
          <w:rFonts w:ascii="Times New Roman" w:hAnsi="Times New Roman" w:eastAsia="仿宋" w:cs="Times New Roman"/>
          <w:b/>
          <w:bCs/>
          <w:sz w:val="24"/>
          <w:szCs w:val="24"/>
        </w:rPr>
      </w:pPr>
      <w:r>
        <w:rPr>
          <w:rFonts w:ascii="Times New Roman" w:hAnsi="Times New Roman" w:eastAsia="仿宋" w:cs="Times New Roman"/>
          <w:b/>
          <w:bCs/>
          <w:sz w:val="24"/>
          <w:szCs w:val="24"/>
        </w:rPr>
        <w:t>表5.4-1 企业存在问题整改内容</w:t>
      </w:r>
    </w:p>
    <w:tbl>
      <w:tblPr>
        <w:tblStyle w:val="21"/>
        <w:tblW w:w="9212"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47"/>
        <w:gridCol w:w="5497"/>
        <w:gridCol w:w="1434"/>
        <w:gridCol w:w="143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54" w:hRule="atLeast"/>
        </w:trPr>
        <w:tc>
          <w:tcPr>
            <w:tcW w:w="847" w:type="dxa"/>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序号</w:t>
            </w:r>
          </w:p>
        </w:tc>
        <w:tc>
          <w:tcPr>
            <w:tcW w:w="5497" w:type="dxa"/>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存在问题及需要整改的内容</w:t>
            </w:r>
          </w:p>
        </w:tc>
        <w:tc>
          <w:tcPr>
            <w:tcW w:w="1434" w:type="dxa"/>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整改期限</w:t>
            </w:r>
          </w:p>
        </w:tc>
        <w:tc>
          <w:tcPr>
            <w:tcW w:w="1434" w:type="dxa"/>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责任人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54" w:hRule="atLeast"/>
        </w:trPr>
        <w:tc>
          <w:tcPr>
            <w:tcW w:w="84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5497" w:type="dxa"/>
            <w:vAlign w:val="center"/>
          </w:tcPr>
          <w:p>
            <w:pPr>
              <w:spacing w:line="240" w:lineRule="auto"/>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环境风险防控重点岗位责任人不够明确，环境风险设施定期巡检和维护责任制度</w:t>
            </w:r>
          </w:p>
        </w:tc>
        <w:tc>
          <w:tcPr>
            <w:tcW w:w="1434"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短期</w:t>
            </w:r>
          </w:p>
        </w:tc>
        <w:tc>
          <w:tcPr>
            <w:tcW w:w="1434"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赵志刚</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54" w:hRule="atLeast"/>
        </w:trPr>
        <w:tc>
          <w:tcPr>
            <w:tcW w:w="84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5497" w:type="dxa"/>
            <w:vAlign w:val="center"/>
          </w:tcPr>
          <w:p>
            <w:pPr>
              <w:spacing w:line="240" w:lineRule="auto"/>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公司突发环境事件信息报告制度未建立。</w:t>
            </w:r>
          </w:p>
          <w:p>
            <w:pPr>
              <w:spacing w:line="240" w:lineRule="auto"/>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公司未开展应急法律法规的宣传工作，也未对职工进行环境风险和环境应急管理方面的“一案三制”培训。</w:t>
            </w:r>
          </w:p>
        </w:tc>
        <w:tc>
          <w:tcPr>
            <w:tcW w:w="1434"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短期</w:t>
            </w:r>
          </w:p>
        </w:tc>
        <w:tc>
          <w:tcPr>
            <w:tcW w:w="1434"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454" w:hRule="atLeast"/>
        </w:trPr>
        <w:tc>
          <w:tcPr>
            <w:tcW w:w="84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5497" w:type="dxa"/>
            <w:vAlign w:val="center"/>
          </w:tcPr>
          <w:p>
            <w:pPr>
              <w:spacing w:line="240" w:lineRule="auto"/>
              <w:ind w:firstLine="0" w:firstLineChars="0"/>
              <w:jc w:val="both"/>
              <w:rPr>
                <w:rFonts w:ascii="Times New Roman" w:hAnsi="Times New Roman" w:eastAsia="仿宋" w:cs="Times New Roman"/>
                <w:sz w:val="21"/>
                <w:szCs w:val="21"/>
              </w:rPr>
            </w:pPr>
            <w:r>
              <w:rPr>
                <w:rFonts w:ascii="Times New Roman" w:hAnsi="Times New Roman" w:eastAsia="仿宋" w:cs="Times New Roman"/>
                <w:sz w:val="21"/>
                <w:szCs w:val="21"/>
              </w:rPr>
              <w:t>还需配备一些应急物资，如报警系统</w:t>
            </w:r>
          </w:p>
        </w:tc>
        <w:tc>
          <w:tcPr>
            <w:tcW w:w="1434"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短期</w:t>
            </w:r>
          </w:p>
        </w:tc>
        <w:tc>
          <w:tcPr>
            <w:tcW w:w="1434"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bl>
    <w:p>
      <w:pPr>
        <w:adjustRightInd w:val="0"/>
        <w:snapToGrid w:val="0"/>
        <w:ind w:firstLine="480"/>
        <w:rPr>
          <w:rFonts w:ascii="Times New Roman" w:hAnsi="Times New Roman" w:eastAsia="仿宋" w:cs="Times New Roman"/>
          <w:bCs/>
          <w:sz w:val="24"/>
        </w:rPr>
      </w:pPr>
      <w:r>
        <w:rPr>
          <w:rFonts w:ascii="Times New Roman" w:hAnsi="Times New Roman" w:eastAsia="仿宋" w:cs="Times New Roman"/>
          <w:bCs/>
          <w:sz w:val="24"/>
        </w:rPr>
        <w:t>注：短期为3个月以内。</w:t>
      </w:r>
    </w:p>
    <w:p>
      <w:pPr>
        <w:pStyle w:val="3"/>
        <w:sectPr>
          <w:pgSz w:w="11906" w:h="16838"/>
          <w:pgMar w:top="1417" w:right="1417" w:bottom="1417" w:left="1417" w:header="851" w:footer="992" w:gutter="0"/>
          <w:cols w:space="0" w:num="1"/>
          <w:docGrid w:type="lines" w:linePitch="389" w:charSpace="0"/>
        </w:sectPr>
      </w:pPr>
    </w:p>
    <w:p>
      <w:pPr>
        <w:pStyle w:val="3"/>
      </w:pPr>
      <w:bookmarkStart w:id="262" w:name="_Toc13418"/>
      <w:r>
        <w:t>6完善环境风险防控和应急措施的实施计划</w:t>
      </w:r>
      <w:bookmarkEnd w:id="262"/>
    </w:p>
    <w:p>
      <w:pPr>
        <w:pStyle w:val="45"/>
        <w:adjustRightInd/>
        <w:snapToGrid/>
        <w:ind w:firstLine="560"/>
        <w:rPr>
          <w:rFonts w:ascii="Times New Roman" w:hAnsi="Times New Roman" w:eastAsia="仿宋" w:cs="Times New Roman"/>
          <w:sz w:val="28"/>
          <w:szCs w:val="28"/>
        </w:rPr>
      </w:pPr>
      <w:r>
        <w:rPr>
          <w:rFonts w:ascii="Times New Roman" w:hAnsi="Times New Roman" w:eastAsia="仿宋" w:cs="Times New Roman"/>
          <w:sz w:val="28"/>
          <w:szCs w:val="28"/>
        </w:rPr>
        <w:t>针对</w:t>
      </w:r>
      <w:r>
        <w:rPr>
          <w:rFonts w:ascii="Times New Roman" w:hAnsi="Times New Roman" w:cs="Times New Roman"/>
          <w:sz w:val="28"/>
          <w:szCs w:val="28"/>
        </w:rPr>
        <w:t>西咸新区秦汉新城朝阳污水处理厂</w:t>
      </w:r>
      <w:r>
        <w:rPr>
          <w:rFonts w:ascii="Times New Roman" w:hAnsi="Times New Roman" w:eastAsia="仿宋" w:cs="Times New Roman"/>
          <w:sz w:val="28"/>
          <w:szCs w:val="28"/>
        </w:rPr>
        <w:t>环境风险防控和应急措施存在的差距，提出完善实施计划如下：</w:t>
      </w:r>
    </w:p>
    <w:p>
      <w:pPr>
        <w:adjustRightInd w:val="0"/>
        <w:snapToGrid w:val="0"/>
        <w:spacing w:before="194" w:beforeLines="50"/>
        <w:ind w:firstLine="480"/>
        <w:jc w:val="center"/>
        <w:rPr>
          <w:rFonts w:ascii="Times New Roman" w:hAnsi="Times New Roman" w:eastAsia="仿宋" w:cs="Times New Roman"/>
          <w:b/>
          <w:sz w:val="24"/>
          <w:szCs w:val="24"/>
        </w:rPr>
      </w:pPr>
      <w:bookmarkStart w:id="263" w:name="OLE_LINK8"/>
      <w:bookmarkStart w:id="264" w:name="OLE_LINK7"/>
      <w:r>
        <w:rPr>
          <w:rFonts w:ascii="Times New Roman" w:hAnsi="Times New Roman" w:eastAsia="仿宋" w:cs="Times New Roman"/>
          <w:b/>
          <w:sz w:val="24"/>
          <w:szCs w:val="24"/>
        </w:rPr>
        <w:t>表6-1   完善环境风险管理制度实施计划表</w:t>
      </w:r>
    </w:p>
    <w:tbl>
      <w:tblPr>
        <w:tblStyle w:val="21"/>
        <w:tblW w:w="980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781"/>
        <w:gridCol w:w="4637"/>
        <w:gridCol w:w="950"/>
        <w:gridCol w:w="143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781"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本次预案需要补充的</w:t>
            </w:r>
          </w:p>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应急措施内容</w:t>
            </w:r>
          </w:p>
        </w:tc>
        <w:tc>
          <w:tcPr>
            <w:tcW w:w="4637"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实施计划及目标</w:t>
            </w:r>
          </w:p>
        </w:tc>
        <w:tc>
          <w:tcPr>
            <w:tcW w:w="950"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责任人</w:t>
            </w:r>
          </w:p>
        </w:tc>
        <w:tc>
          <w:tcPr>
            <w:tcW w:w="1437"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完成时限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781" w:type="dxa"/>
            <w:vAlign w:val="center"/>
          </w:tcPr>
          <w:p>
            <w:pPr>
              <w:pStyle w:val="45"/>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制定全面、周密的风险救援计划和环境风险防范制度</w:t>
            </w:r>
          </w:p>
        </w:tc>
        <w:tc>
          <w:tcPr>
            <w:tcW w:w="4637" w:type="dxa"/>
            <w:vMerge w:val="restart"/>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完成突发环境事件应急预案备案工作</w:t>
            </w:r>
          </w:p>
        </w:tc>
        <w:tc>
          <w:tcPr>
            <w:tcW w:w="950" w:type="dxa"/>
            <w:vMerge w:val="restart"/>
            <w:vAlign w:val="center"/>
          </w:tcPr>
          <w:p>
            <w:pPr>
              <w:spacing w:line="240" w:lineRule="auto"/>
              <w:ind w:firstLine="0" w:firstLineChars="0"/>
              <w:jc w:val="center"/>
              <w:rPr>
                <w:rFonts w:ascii="Times New Roman" w:hAnsi="Times New Roman" w:eastAsia="仿宋" w:cs="Times New Roman"/>
                <w:sz w:val="21"/>
                <w:szCs w:val="21"/>
                <w:highlight w:val="red"/>
              </w:rPr>
            </w:pPr>
            <w:r>
              <w:rPr>
                <w:rFonts w:ascii="Times New Roman" w:hAnsi="Times New Roman" w:eastAsia="仿宋" w:cs="Times New Roman"/>
                <w:sz w:val="21"/>
                <w:szCs w:val="21"/>
              </w:rPr>
              <w:t>赵志刚</w:t>
            </w:r>
          </w:p>
        </w:tc>
        <w:tc>
          <w:tcPr>
            <w:tcW w:w="1437" w:type="dxa"/>
            <w:vMerge w:val="restart"/>
            <w:vAlign w:val="center"/>
          </w:tcPr>
          <w:p>
            <w:pPr>
              <w:pStyle w:val="45"/>
              <w:spacing w:line="240" w:lineRule="auto"/>
              <w:ind w:firstLine="0" w:firstLineChars="0"/>
              <w:jc w:val="center"/>
              <w:rPr>
                <w:rFonts w:ascii="Times New Roman" w:hAnsi="Times New Roman" w:eastAsia="仿宋" w:cs="Times New Roman"/>
                <w:spacing w:val="-20"/>
                <w:w w:val="90"/>
                <w:sz w:val="21"/>
                <w:szCs w:val="21"/>
              </w:rPr>
            </w:pPr>
            <w:r>
              <w:rPr>
                <w:rFonts w:ascii="Times New Roman" w:hAnsi="Times New Roman" w:eastAsia="仿宋" w:cs="Times New Roman"/>
                <w:spacing w:val="-20"/>
                <w:w w:val="90"/>
                <w:sz w:val="21"/>
                <w:szCs w:val="21"/>
              </w:rPr>
              <w:t>2018年 11月 25日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781" w:type="dxa"/>
            <w:vAlign w:val="center"/>
          </w:tcPr>
          <w:p>
            <w:pPr>
              <w:pStyle w:val="45"/>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有针对性提出各项风险防控和应急措施</w:t>
            </w:r>
          </w:p>
        </w:tc>
        <w:tc>
          <w:tcPr>
            <w:tcW w:w="4637" w:type="dxa"/>
            <w:vMerge w:val="continue"/>
            <w:vAlign w:val="center"/>
          </w:tcPr>
          <w:p>
            <w:pPr>
              <w:pStyle w:val="45"/>
              <w:spacing w:line="240" w:lineRule="auto"/>
              <w:ind w:firstLine="0" w:firstLineChars="0"/>
              <w:rPr>
                <w:rFonts w:ascii="Times New Roman" w:hAnsi="Times New Roman" w:eastAsia="仿宋" w:cs="Times New Roman"/>
                <w:sz w:val="21"/>
                <w:szCs w:val="21"/>
              </w:rPr>
            </w:pPr>
          </w:p>
        </w:tc>
        <w:tc>
          <w:tcPr>
            <w:tcW w:w="950" w:type="dxa"/>
            <w:vMerge w:val="continue"/>
            <w:vAlign w:val="center"/>
          </w:tcPr>
          <w:p>
            <w:pPr>
              <w:pStyle w:val="45"/>
              <w:spacing w:line="240" w:lineRule="auto"/>
              <w:ind w:firstLine="0" w:firstLineChars="0"/>
              <w:jc w:val="center"/>
              <w:rPr>
                <w:rFonts w:ascii="Times New Roman" w:hAnsi="Times New Roman" w:eastAsia="仿宋" w:cs="Times New Roman"/>
                <w:sz w:val="21"/>
                <w:szCs w:val="21"/>
                <w:highlight w:val="red"/>
              </w:rPr>
            </w:pPr>
          </w:p>
        </w:tc>
        <w:tc>
          <w:tcPr>
            <w:tcW w:w="1437" w:type="dxa"/>
            <w:vMerge w:val="continue"/>
            <w:vAlign w:val="center"/>
          </w:tcPr>
          <w:p>
            <w:pPr>
              <w:pStyle w:val="45"/>
              <w:spacing w:line="240" w:lineRule="auto"/>
              <w:ind w:firstLine="0" w:firstLineChars="0"/>
              <w:jc w:val="center"/>
              <w:rPr>
                <w:rFonts w:ascii="Times New Roman" w:hAnsi="Times New Roman" w:eastAsia="仿宋" w:cs="Times New Roman"/>
                <w:sz w:val="21"/>
                <w:szCs w:val="21"/>
                <w:highlight w:val="red"/>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781" w:type="dxa"/>
            <w:vAlign w:val="center"/>
          </w:tcPr>
          <w:p>
            <w:pPr>
              <w:pStyle w:val="45"/>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每年组织环境应急管理宣传和培训以及应急演练</w:t>
            </w:r>
          </w:p>
        </w:tc>
        <w:tc>
          <w:tcPr>
            <w:tcW w:w="4637"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备案完成后一个月内组织一次环境应急管理宣传话培训以及应急演练</w:t>
            </w:r>
          </w:p>
        </w:tc>
        <w:tc>
          <w:tcPr>
            <w:tcW w:w="950" w:type="dxa"/>
            <w:vAlign w:val="center"/>
          </w:tcPr>
          <w:p>
            <w:pPr>
              <w:spacing w:line="240" w:lineRule="auto"/>
              <w:ind w:firstLine="0" w:firstLineChars="0"/>
              <w:jc w:val="center"/>
              <w:rPr>
                <w:rFonts w:ascii="Times New Roman" w:hAnsi="Times New Roman" w:eastAsia="仿宋" w:cs="Times New Roman"/>
                <w:sz w:val="21"/>
                <w:szCs w:val="21"/>
                <w:highlight w:val="red"/>
              </w:rPr>
            </w:pPr>
            <w:r>
              <w:rPr>
                <w:rFonts w:ascii="Times New Roman" w:hAnsi="Times New Roman" w:eastAsia="仿宋" w:cs="Times New Roman"/>
                <w:sz w:val="21"/>
                <w:szCs w:val="21"/>
              </w:rPr>
              <w:t>赵志刚</w:t>
            </w:r>
          </w:p>
        </w:tc>
        <w:tc>
          <w:tcPr>
            <w:tcW w:w="1437" w:type="dxa"/>
            <w:vAlign w:val="center"/>
          </w:tcPr>
          <w:p>
            <w:pPr>
              <w:pStyle w:val="45"/>
              <w:spacing w:line="240" w:lineRule="auto"/>
              <w:ind w:firstLine="0" w:firstLineChars="0"/>
              <w:jc w:val="center"/>
              <w:rPr>
                <w:rFonts w:ascii="Times New Roman" w:hAnsi="Times New Roman" w:eastAsia="仿宋" w:cs="Times New Roman"/>
                <w:spacing w:val="-20"/>
                <w:w w:val="90"/>
                <w:sz w:val="21"/>
                <w:szCs w:val="21"/>
                <w:highlight w:val="red"/>
              </w:rPr>
            </w:pPr>
            <w:r>
              <w:rPr>
                <w:rFonts w:ascii="Times New Roman" w:hAnsi="Times New Roman" w:eastAsia="仿宋" w:cs="Times New Roman"/>
                <w:spacing w:val="-20"/>
                <w:w w:val="90"/>
                <w:sz w:val="21"/>
                <w:szCs w:val="21"/>
              </w:rPr>
              <w:t>2018年 11月 25日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781" w:type="dxa"/>
            <w:vAlign w:val="center"/>
          </w:tcPr>
          <w:p>
            <w:pPr>
              <w:pStyle w:val="45"/>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成立环境应急指挥部，并建立完善的环境信息通报制度</w:t>
            </w:r>
          </w:p>
        </w:tc>
        <w:tc>
          <w:tcPr>
            <w:tcW w:w="4637"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根据经备案后的预案内容，组织应急指挥部全体成员召开一次内部会议，明确环境信息通报制度</w:t>
            </w:r>
          </w:p>
        </w:tc>
        <w:tc>
          <w:tcPr>
            <w:tcW w:w="950" w:type="dxa"/>
            <w:vAlign w:val="center"/>
          </w:tcPr>
          <w:p>
            <w:pPr>
              <w:spacing w:line="240" w:lineRule="auto"/>
              <w:ind w:firstLine="0" w:firstLineChars="0"/>
              <w:jc w:val="center"/>
              <w:rPr>
                <w:rFonts w:ascii="Times New Roman" w:hAnsi="Times New Roman" w:eastAsia="仿宋" w:cs="Times New Roman"/>
                <w:sz w:val="21"/>
                <w:szCs w:val="21"/>
                <w:highlight w:val="red"/>
              </w:rPr>
            </w:pPr>
            <w:r>
              <w:rPr>
                <w:rFonts w:ascii="Times New Roman" w:hAnsi="Times New Roman" w:eastAsia="仿宋" w:cs="Times New Roman"/>
                <w:sz w:val="21"/>
                <w:szCs w:val="21"/>
              </w:rPr>
              <w:t>赵志刚</w:t>
            </w:r>
          </w:p>
        </w:tc>
        <w:tc>
          <w:tcPr>
            <w:tcW w:w="1437" w:type="dxa"/>
            <w:vAlign w:val="center"/>
          </w:tcPr>
          <w:p>
            <w:pPr>
              <w:pStyle w:val="45"/>
              <w:spacing w:line="240" w:lineRule="auto"/>
              <w:ind w:firstLine="0" w:firstLineChars="0"/>
              <w:jc w:val="center"/>
              <w:rPr>
                <w:rFonts w:ascii="Times New Roman" w:hAnsi="Times New Roman" w:eastAsia="仿宋" w:cs="Times New Roman"/>
                <w:spacing w:val="-20"/>
                <w:w w:val="90"/>
                <w:sz w:val="21"/>
                <w:szCs w:val="21"/>
                <w:highlight w:val="red"/>
              </w:rPr>
            </w:pPr>
            <w:r>
              <w:rPr>
                <w:rFonts w:ascii="Times New Roman" w:hAnsi="Times New Roman" w:eastAsia="仿宋" w:cs="Times New Roman"/>
                <w:spacing w:val="-20"/>
                <w:w w:val="90"/>
                <w:sz w:val="21"/>
                <w:szCs w:val="21"/>
              </w:rPr>
              <w:t>2018年 11月 25日</w:t>
            </w:r>
          </w:p>
        </w:tc>
      </w:tr>
      <w:bookmarkEnd w:id="263"/>
      <w:bookmarkEnd w:id="264"/>
    </w:tbl>
    <w:p>
      <w:pPr>
        <w:adjustRightInd w:val="0"/>
        <w:snapToGrid w:val="0"/>
        <w:spacing w:before="194" w:beforeLines="50"/>
        <w:ind w:firstLine="480"/>
        <w:jc w:val="center"/>
        <w:rPr>
          <w:rFonts w:ascii="Times New Roman" w:hAnsi="Times New Roman" w:eastAsia="仿宋" w:cs="Times New Roman"/>
          <w:b/>
          <w:sz w:val="24"/>
          <w:szCs w:val="24"/>
        </w:rPr>
      </w:pPr>
      <w:r>
        <w:rPr>
          <w:rFonts w:ascii="Times New Roman" w:hAnsi="Times New Roman" w:eastAsia="仿宋" w:cs="Times New Roman"/>
          <w:b/>
          <w:sz w:val="24"/>
          <w:szCs w:val="24"/>
        </w:rPr>
        <w:t>表6-2   完善环境应急资源实施计划表</w:t>
      </w:r>
    </w:p>
    <w:tbl>
      <w:tblPr>
        <w:tblStyle w:val="21"/>
        <w:tblW w:w="980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606"/>
        <w:gridCol w:w="4820"/>
        <w:gridCol w:w="950"/>
        <w:gridCol w:w="142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606"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本次预案需要补充的</w:t>
            </w:r>
          </w:p>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应急措施内容</w:t>
            </w:r>
          </w:p>
        </w:tc>
        <w:tc>
          <w:tcPr>
            <w:tcW w:w="4820"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实施计划及目标</w:t>
            </w:r>
          </w:p>
        </w:tc>
        <w:tc>
          <w:tcPr>
            <w:tcW w:w="950"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责任人</w:t>
            </w:r>
          </w:p>
        </w:tc>
        <w:tc>
          <w:tcPr>
            <w:tcW w:w="1429"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完成时限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606"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根据预案内容，补充必要的应急物资和装备</w:t>
            </w:r>
          </w:p>
        </w:tc>
        <w:tc>
          <w:tcPr>
            <w:tcW w:w="4820"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由设备主管及物资采购部门牵头，补充采购必要的消防设施等应急物质和设备。</w:t>
            </w:r>
          </w:p>
        </w:tc>
        <w:tc>
          <w:tcPr>
            <w:tcW w:w="950" w:type="dxa"/>
            <w:vAlign w:val="center"/>
          </w:tcPr>
          <w:p>
            <w:pPr>
              <w:spacing w:line="240" w:lineRule="auto"/>
              <w:ind w:firstLine="0" w:firstLineChars="0"/>
              <w:jc w:val="center"/>
              <w:rPr>
                <w:rFonts w:ascii="Times New Roman" w:hAnsi="Times New Roman" w:eastAsia="仿宋" w:cs="Times New Roman"/>
                <w:color w:val="FF0000"/>
                <w:sz w:val="21"/>
                <w:szCs w:val="21"/>
                <w:highlight w:val="red"/>
              </w:rPr>
            </w:pPr>
            <w:r>
              <w:rPr>
                <w:rFonts w:ascii="Times New Roman" w:hAnsi="Times New Roman" w:eastAsia="仿宋" w:cs="Times New Roman"/>
                <w:sz w:val="21"/>
                <w:szCs w:val="21"/>
              </w:rPr>
              <w:t>赵志刚</w:t>
            </w:r>
          </w:p>
        </w:tc>
        <w:tc>
          <w:tcPr>
            <w:tcW w:w="1429" w:type="dxa"/>
            <w:vAlign w:val="center"/>
          </w:tcPr>
          <w:p>
            <w:pPr>
              <w:pStyle w:val="45"/>
              <w:spacing w:line="240" w:lineRule="auto"/>
              <w:ind w:firstLine="0" w:firstLineChars="0"/>
              <w:jc w:val="center"/>
              <w:rPr>
                <w:rFonts w:ascii="Times New Roman" w:hAnsi="Times New Roman" w:eastAsia="仿宋" w:cs="Times New Roman"/>
                <w:spacing w:val="-20"/>
                <w:w w:val="90"/>
                <w:sz w:val="21"/>
                <w:szCs w:val="21"/>
              </w:rPr>
            </w:pPr>
            <w:r>
              <w:rPr>
                <w:rFonts w:ascii="Times New Roman" w:hAnsi="Times New Roman" w:eastAsia="仿宋" w:cs="Times New Roman"/>
                <w:spacing w:val="-20"/>
                <w:w w:val="90"/>
                <w:sz w:val="21"/>
                <w:szCs w:val="21"/>
              </w:rPr>
              <w:t>2018年 11月 25日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606"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根据预案内容，成立应急救援指挥部，并定期组织员工进行应急演练和培训</w:t>
            </w:r>
          </w:p>
        </w:tc>
        <w:tc>
          <w:tcPr>
            <w:tcW w:w="4820"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由指定的人员出任应急救援指挥部组长，并根据本预案内容组件应急救援小组组员，预案备案后一个月内组织组员开展应急演练和培训</w:t>
            </w:r>
          </w:p>
        </w:tc>
        <w:tc>
          <w:tcPr>
            <w:tcW w:w="950" w:type="dxa"/>
            <w:vAlign w:val="center"/>
          </w:tcPr>
          <w:p>
            <w:pPr>
              <w:spacing w:line="240" w:lineRule="auto"/>
              <w:ind w:firstLine="0" w:firstLineChars="0"/>
              <w:jc w:val="center"/>
              <w:rPr>
                <w:rFonts w:ascii="Times New Roman" w:hAnsi="Times New Roman" w:eastAsia="仿宋" w:cs="Times New Roman"/>
                <w:color w:val="FF0000"/>
                <w:sz w:val="21"/>
                <w:szCs w:val="21"/>
                <w:highlight w:val="red"/>
              </w:rPr>
            </w:pPr>
            <w:r>
              <w:rPr>
                <w:rFonts w:ascii="Times New Roman" w:hAnsi="Times New Roman" w:eastAsia="仿宋" w:cs="Times New Roman"/>
                <w:sz w:val="21"/>
                <w:szCs w:val="21"/>
              </w:rPr>
              <w:t>赵志刚</w:t>
            </w:r>
          </w:p>
        </w:tc>
        <w:tc>
          <w:tcPr>
            <w:tcW w:w="1429" w:type="dxa"/>
            <w:vAlign w:val="center"/>
          </w:tcPr>
          <w:p>
            <w:pPr>
              <w:pStyle w:val="45"/>
              <w:spacing w:line="240" w:lineRule="auto"/>
              <w:ind w:firstLine="0" w:firstLineChars="0"/>
              <w:jc w:val="center"/>
              <w:rPr>
                <w:rFonts w:ascii="Times New Roman" w:hAnsi="Times New Roman" w:eastAsia="仿宋" w:cs="Times New Roman"/>
                <w:spacing w:val="-20"/>
                <w:w w:val="90"/>
                <w:sz w:val="21"/>
                <w:szCs w:val="21"/>
              </w:rPr>
            </w:pPr>
            <w:r>
              <w:rPr>
                <w:rFonts w:ascii="Times New Roman" w:hAnsi="Times New Roman" w:eastAsia="仿宋" w:cs="Times New Roman"/>
                <w:spacing w:val="-20"/>
                <w:w w:val="90"/>
                <w:sz w:val="21"/>
                <w:szCs w:val="21"/>
              </w:rPr>
              <w:t>2018年 11月 25日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606"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与其他组织或单位签订应急救援协议或互助协议</w:t>
            </w:r>
          </w:p>
        </w:tc>
        <w:tc>
          <w:tcPr>
            <w:tcW w:w="4820"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在本预案备案后一个月内，完成与周边企业以及外部协助力量相关协议签订以及互助意向的达成</w:t>
            </w:r>
          </w:p>
        </w:tc>
        <w:tc>
          <w:tcPr>
            <w:tcW w:w="950" w:type="dxa"/>
            <w:vAlign w:val="center"/>
          </w:tcPr>
          <w:p>
            <w:pPr>
              <w:spacing w:line="240" w:lineRule="auto"/>
              <w:ind w:firstLine="0" w:firstLineChars="0"/>
              <w:jc w:val="center"/>
              <w:rPr>
                <w:rFonts w:ascii="Times New Roman" w:hAnsi="Times New Roman" w:eastAsia="仿宋" w:cs="Times New Roman"/>
                <w:color w:val="FF0000"/>
                <w:sz w:val="21"/>
                <w:szCs w:val="21"/>
                <w:highlight w:val="red"/>
              </w:rPr>
            </w:pPr>
            <w:r>
              <w:rPr>
                <w:rFonts w:ascii="Times New Roman" w:hAnsi="Times New Roman" w:eastAsia="仿宋" w:cs="Times New Roman"/>
                <w:sz w:val="21"/>
                <w:szCs w:val="21"/>
              </w:rPr>
              <w:t>赵志刚</w:t>
            </w:r>
          </w:p>
        </w:tc>
        <w:tc>
          <w:tcPr>
            <w:tcW w:w="1429" w:type="dxa"/>
            <w:vAlign w:val="center"/>
          </w:tcPr>
          <w:p>
            <w:pPr>
              <w:pStyle w:val="45"/>
              <w:spacing w:line="240" w:lineRule="auto"/>
              <w:ind w:firstLine="0" w:firstLineChars="0"/>
              <w:jc w:val="center"/>
              <w:rPr>
                <w:rFonts w:ascii="Times New Roman" w:hAnsi="Times New Roman" w:eastAsia="仿宋" w:cs="Times New Roman"/>
                <w:spacing w:val="-20"/>
                <w:w w:val="90"/>
                <w:sz w:val="21"/>
                <w:szCs w:val="21"/>
              </w:rPr>
            </w:pPr>
            <w:r>
              <w:rPr>
                <w:rFonts w:ascii="Times New Roman" w:hAnsi="Times New Roman" w:eastAsia="仿宋" w:cs="Times New Roman"/>
                <w:spacing w:val="-20"/>
                <w:w w:val="90"/>
                <w:sz w:val="21"/>
                <w:szCs w:val="21"/>
              </w:rPr>
              <w:t>2018年 11月 25日</w:t>
            </w:r>
          </w:p>
        </w:tc>
      </w:tr>
    </w:tbl>
    <w:p>
      <w:pPr>
        <w:adjustRightInd w:val="0"/>
        <w:snapToGrid w:val="0"/>
        <w:spacing w:before="194" w:beforeLines="50"/>
        <w:ind w:firstLine="480"/>
        <w:jc w:val="center"/>
        <w:rPr>
          <w:rFonts w:ascii="Times New Roman" w:hAnsi="Times New Roman" w:eastAsia="仿宋" w:cs="Times New Roman"/>
          <w:b/>
          <w:sz w:val="24"/>
          <w:szCs w:val="24"/>
        </w:rPr>
      </w:pPr>
      <w:r>
        <w:rPr>
          <w:rFonts w:ascii="Times New Roman" w:hAnsi="Times New Roman" w:eastAsia="仿宋" w:cs="Times New Roman"/>
          <w:b/>
          <w:sz w:val="24"/>
          <w:szCs w:val="24"/>
        </w:rPr>
        <w:t>表6-3   完善历史经验教训总结实施计划表</w:t>
      </w:r>
    </w:p>
    <w:tbl>
      <w:tblPr>
        <w:tblStyle w:val="21"/>
        <w:tblW w:w="980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613"/>
        <w:gridCol w:w="4813"/>
        <w:gridCol w:w="950"/>
        <w:gridCol w:w="142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680" w:hRule="atLeast"/>
        </w:trPr>
        <w:tc>
          <w:tcPr>
            <w:tcW w:w="2613"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本次预案需要补充的</w:t>
            </w:r>
          </w:p>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应急措施内容</w:t>
            </w:r>
          </w:p>
        </w:tc>
        <w:tc>
          <w:tcPr>
            <w:tcW w:w="4813"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实施计划及目标</w:t>
            </w:r>
          </w:p>
        </w:tc>
        <w:tc>
          <w:tcPr>
            <w:tcW w:w="950"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责任人</w:t>
            </w:r>
          </w:p>
        </w:tc>
        <w:tc>
          <w:tcPr>
            <w:tcW w:w="1429" w:type="dxa"/>
            <w:vAlign w:val="center"/>
          </w:tcPr>
          <w:p>
            <w:pPr>
              <w:pStyle w:val="45"/>
              <w:spacing w:line="240" w:lineRule="auto"/>
              <w:ind w:firstLine="0" w:firstLineChars="0"/>
              <w:jc w:val="center"/>
              <w:rPr>
                <w:rFonts w:ascii="Times New Roman" w:hAnsi="Times New Roman" w:eastAsia="仿宋" w:cs="Times New Roman"/>
                <w:b/>
                <w:sz w:val="21"/>
                <w:szCs w:val="21"/>
              </w:rPr>
            </w:pPr>
            <w:r>
              <w:rPr>
                <w:rFonts w:ascii="Times New Roman" w:hAnsi="Times New Roman" w:eastAsia="仿宋" w:cs="Times New Roman"/>
                <w:b/>
                <w:sz w:val="21"/>
                <w:szCs w:val="21"/>
              </w:rPr>
              <w:t>完成时限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trHeight w:val="1921" w:hRule="atLeast"/>
        </w:trPr>
        <w:tc>
          <w:tcPr>
            <w:tcW w:w="2613"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分析、总结历史上同类型企业或设计相同环境风险物质的企业发生突发环境事件的经验教训，对照检查本单位是否有防止类似事件发生的措施</w:t>
            </w:r>
          </w:p>
        </w:tc>
        <w:tc>
          <w:tcPr>
            <w:tcW w:w="4813" w:type="dxa"/>
            <w:vAlign w:val="center"/>
          </w:tcPr>
          <w:p>
            <w:pPr>
              <w:pStyle w:val="45"/>
              <w:spacing w:line="240" w:lineRule="auto"/>
              <w:ind w:firstLine="0" w:firstLineChars="0"/>
              <w:rPr>
                <w:rFonts w:ascii="Times New Roman" w:hAnsi="Times New Roman" w:eastAsia="仿宋" w:cs="Times New Roman"/>
                <w:sz w:val="21"/>
                <w:szCs w:val="21"/>
              </w:rPr>
            </w:pPr>
            <w:r>
              <w:rPr>
                <w:rFonts w:ascii="Times New Roman" w:hAnsi="Times New Roman" w:eastAsia="仿宋" w:cs="Times New Roman"/>
                <w:sz w:val="21"/>
                <w:szCs w:val="21"/>
              </w:rPr>
              <w:t>定期组织开展安全、消防、环保等专题培训会，对相关风险事故做案例分析，总结经验教训，并对照本企业现状补充完善相关措施。</w:t>
            </w:r>
          </w:p>
        </w:tc>
        <w:tc>
          <w:tcPr>
            <w:tcW w:w="95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赵志刚</w:t>
            </w:r>
          </w:p>
        </w:tc>
        <w:tc>
          <w:tcPr>
            <w:tcW w:w="1429" w:type="dxa"/>
            <w:vAlign w:val="center"/>
          </w:tcPr>
          <w:p>
            <w:pPr>
              <w:pStyle w:val="45"/>
              <w:spacing w:line="240" w:lineRule="auto"/>
              <w:ind w:firstLine="0" w:firstLineChars="0"/>
              <w:jc w:val="center"/>
              <w:rPr>
                <w:rFonts w:ascii="Times New Roman" w:hAnsi="Times New Roman" w:eastAsia="仿宋" w:cs="Times New Roman"/>
                <w:spacing w:val="-20"/>
                <w:w w:val="90"/>
                <w:sz w:val="21"/>
                <w:szCs w:val="21"/>
              </w:rPr>
            </w:pPr>
            <w:r>
              <w:rPr>
                <w:rFonts w:ascii="Times New Roman" w:hAnsi="Times New Roman" w:eastAsia="仿宋" w:cs="Times New Roman"/>
                <w:spacing w:val="-20"/>
                <w:w w:val="90"/>
                <w:sz w:val="21"/>
                <w:szCs w:val="21"/>
              </w:rPr>
              <w:t>2018年 11月 25日</w:t>
            </w:r>
          </w:p>
        </w:tc>
      </w:tr>
    </w:tbl>
    <w:p>
      <w:pPr>
        <w:pStyle w:val="3"/>
        <w:spacing w:line="360" w:lineRule="auto"/>
      </w:pPr>
      <w:bookmarkStart w:id="265" w:name="_Toc29686"/>
      <w:r>
        <w:t>7突发大气环境事件风险分级</w:t>
      </w:r>
      <w:bookmarkEnd w:id="265"/>
    </w:p>
    <w:p>
      <w:pPr>
        <w:pStyle w:val="2"/>
        <w:spacing w:line="360" w:lineRule="auto"/>
        <w:jc w:val="both"/>
        <w:rPr>
          <w:rFonts w:eastAsia="仿宋GB_2312"/>
          <w:sz w:val="32"/>
          <w:szCs w:val="32"/>
        </w:rPr>
      </w:pPr>
      <w:bookmarkStart w:id="266" w:name="_Toc19795"/>
      <w:bookmarkStart w:id="267" w:name="_Toc5116"/>
      <w:bookmarkStart w:id="268" w:name="_Toc26330"/>
      <w:bookmarkStart w:id="269" w:name="_Toc25655"/>
      <w:bookmarkStart w:id="270" w:name="_Toc13813"/>
      <w:bookmarkStart w:id="271" w:name="_Toc419215228"/>
      <w:bookmarkStart w:id="272" w:name="_Toc23812"/>
      <w:bookmarkStart w:id="273" w:name="_Toc29034"/>
      <w:bookmarkStart w:id="274" w:name="_Toc18718"/>
      <w:r>
        <w:rPr>
          <w:rFonts w:eastAsia="仿宋GB_2312"/>
          <w:szCs w:val="30"/>
        </w:rPr>
        <w:t>7.1</w:t>
      </w:r>
      <w:bookmarkEnd w:id="266"/>
      <w:bookmarkEnd w:id="267"/>
      <w:bookmarkEnd w:id="268"/>
      <w:bookmarkEnd w:id="269"/>
      <w:bookmarkEnd w:id="270"/>
      <w:bookmarkEnd w:id="271"/>
      <w:bookmarkEnd w:id="272"/>
      <w:r>
        <w:rPr>
          <w:rFonts w:eastAsia="仿宋GB_2312"/>
          <w:szCs w:val="30"/>
        </w:rPr>
        <w:t>计算涉气风险物质数量与临界量比值（Q）</w:t>
      </w:r>
      <w:bookmarkEnd w:id="273"/>
    </w:p>
    <w:p>
      <w:pPr>
        <w:widowControl/>
        <w:ind w:firstLine="560"/>
        <w:rPr>
          <w:rFonts w:ascii="Times New Roman" w:hAnsi="Times New Roman" w:eastAsia="仿宋GB_2312" w:cs="Times New Roman"/>
          <w:szCs w:val="28"/>
        </w:rPr>
      </w:pPr>
      <w:r>
        <w:rPr>
          <w:rFonts w:ascii="Times New Roman" w:hAnsi="Times New Roman" w:eastAsia="仿宋GB_2312" w:cs="Times New Roman"/>
          <w:szCs w:val="28"/>
        </w:rPr>
        <w:t>按照</w:t>
      </w:r>
      <w:r>
        <w:rPr>
          <w:rFonts w:ascii="Times New Roman" w:hAnsi="Times New Roman" w:cs="Times New Roman"/>
        </w:rPr>
        <w:t>《企业突发环境事件风险分级方法》（HJ 941-2018）</w:t>
      </w:r>
      <w:r>
        <w:rPr>
          <w:rFonts w:ascii="Times New Roman" w:hAnsi="Times New Roman" w:eastAsia="仿宋GB_2312" w:cs="Times New Roman"/>
          <w:szCs w:val="28"/>
        </w:rPr>
        <w:t>中的规定，判断企业生产原料、产品、中间产品、副产品、催化剂、辅助生产物料、燃料、“三废”污染物等是否涉及大气风险物质（混合或稀释的风险物质按其组分比例折算成纯物质），计算涉气风险物质在厂界内的存在量（如存在量呈动态变化，则按年度内最大存在量计算）与其在附录A中临界量的比值Q：</w:t>
      </w:r>
    </w:p>
    <w:p>
      <w:pPr>
        <w:widowControl/>
        <w:ind w:firstLine="560"/>
        <w:jc w:val="both"/>
        <w:rPr>
          <w:rFonts w:ascii="Times New Roman" w:hAnsi="Times New Roman" w:eastAsia="仿宋GB_2312" w:cs="Times New Roman"/>
          <w:position w:val="-30"/>
          <w:szCs w:val="28"/>
        </w:rPr>
      </w:pPr>
      <w:r>
        <w:rPr>
          <w:rFonts w:ascii="Times New Roman" w:hAnsi="Times New Roman" w:eastAsia="仿宋GB_2312" w:cs="Times New Roman"/>
          <w:position w:val="-30"/>
          <w:szCs w:val="28"/>
        </w:rPr>
        <w:t>（1）当企业只涉及一种风险物质时，该物质的数量与其临界比值，即为Q。</w:t>
      </w:r>
    </w:p>
    <w:p>
      <w:pPr>
        <w:widowControl/>
        <w:ind w:firstLine="560"/>
        <w:jc w:val="both"/>
        <w:rPr>
          <w:rFonts w:ascii="Times New Roman" w:hAnsi="Times New Roman" w:eastAsia="仿宋GB_2312" w:cs="Times New Roman"/>
          <w:position w:val="-30"/>
          <w:szCs w:val="28"/>
        </w:rPr>
      </w:pPr>
      <w:r>
        <w:rPr>
          <w:rFonts w:ascii="Times New Roman" w:hAnsi="Times New Roman" w:eastAsia="仿宋GB_2312" w:cs="Times New Roman"/>
          <w:position w:val="-30"/>
          <w:szCs w:val="28"/>
        </w:rPr>
        <w:t>（2）当企业存在多种风险物质时，则按式（1）计算：</w:t>
      </w:r>
    </w:p>
    <w:p>
      <w:pPr>
        <w:widowControl/>
        <w:ind w:firstLine="560"/>
        <w:jc w:val="center"/>
        <w:rPr>
          <w:rFonts w:ascii="Times New Roman" w:hAnsi="Times New Roman" w:eastAsia="仿宋GB_2312" w:cs="Times New Roman"/>
          <w:szCs w:val="28"/>
        </w:rPr>
      </w:pPr>
      <w:r>
        <w:rPr>
          <w:rFonts w:ascii="Times New Roman" w:hAnsi="Times New Roman" w:eastAsia="仿宋GB_2312" w:cs="Times New Roman"/>
          <w:position w:val="-30"/>
          <w:szCs w:val="28"/>
        </w:rPr>
        <w:object>
          <v:shape id="_x0000_i1025" o:spt="75" type="#_x0000_t75" style="height:43.65pt;width:225.95pt;" o:ole="t" filled="f" o:preferrelative="t" stroked="f" coordsize="21600,21600">
            <v:path/>
            <v:fill on="f" focussize="0,0"/>
            <v:stroke on="f" joinstyle="miter"/>
            <v:imagedata r:id="rId15" o:title=""/>
            <o:lock v:ext="edit" aspectratio="t"/>
            <w10:wrap type="none"/>
            <w10:anchorlock/>
          </v:shape>
          <o:OLEObject Type="Embed" ProgID="Equation.3" ShapeID="_x0000_i1025" DrawAspect="Content" ObjectID="_1468075725" r:id="rId14">
            <o:LockedField>false</o:LockedField>
          </o:OLEObject>
        </w:object>
      </w:r>
      <w:r>
        <w:rPr>
          <w:rFonts w:ascii="Times New Roman" w:hAnsi="Times New Roman" w:eastAsia="仿宋GB_2312" w:cs="Times New Roman"/>
          <w:szCs w:val="28"/>
        </w:rPr>
        <w:t>（1）</w:t>
      </w:r>
    </w:p>
    <w:p>
      <w:pPr>
        <w:widowControl/>
        <w:ind w:firstLine="560"/>
        <w:rPr>
          <w:rFonts w:ascii="Times New Roman" w:hAnsi="Times New Roman" w:eastAsia="仿宋GB_2312" w:cs="Times New Roman"/>
          <w:szCs w:val="28"/>
        </w:rPr>
      </w:pPr>
      <w:r>
        <w:rPr>
          <w:rFonts w:ascii="Times New Roman" w:hAnsi="Times New Roman" w:eastAsia="仿宋GB_2312" w:cs="Times New Roman"/>
          <w:szCs w:val="28"/>
        </w:rPr>
        <w:t>式中：w</w:t>
      </w:r>
      <w:r>
        <w:rPr>
          <w:rFonts w:ascii="Times New Roman" w:hAnsi="Times New Roman" w:eastAsia="仿宋GB_2312" w:cs="Times New Roman"/>
          <w:szCs w:val="28"/>
          <w:vertAlign w:val="subscript"/>
        </w:rPr>
        <w:t>1</w:t>
      </w:r>
      <w:r>
        <w:rPr>
          <w:rFonts w:ascii="Times New Roman" w:hAnsi="Times New Roman" w:eastAsia="仿宋GB_2312" w:cs="Times New Roman"/>
          <w:szCs w:val="28"/>
        </w:rPr>
        <w:t>，w</w:t>
      </w:r>
      <w:r>
        <w:rPr>
          <w:rFonts w:ascii="Times New Roman" w:hAnsi="Times New Roman" w:eastAsia="仿宋GB_2312" w:cs="Times New Roman"/>
          <w:szCs w:val="28"/>
          <w:vertAlign w:val="subscript"/>
        </w:rPr>
        <w:t>2</w:t>
      </w:r>
      <w:r>
        <w:rPr>
          <w:rFonts w:ascii="Times New Roman" w:hAnsi="Times New Roman" w:eastAsia="仿宋GB_2312" w:cs="Times New Roman"/>
          <w:szCs w:val="28"/>
        </w:rPr>
        <w:t>…，w</w:t>
      </w:r>
      <w:r>
        <w:rPr>
          <w:rFonts w:ascii="Times New Roman" w:hAnsi="Times New Roman" w:eastAsia="仿宋GB_2312" w:cs="Times New Roman"/>
          <w:szCs w:val="28"/>
          <w:vertAlign w:val="subscript"/>
        </w:rPr>
        <w:t>n</w:t>
      </w:r>
      <w:r>
        <w:rPr>
          <w:rFonts w:ascii="Times New Roman" w:hAnsi="Times New Roman" w:eastAsia="仿宋GB_2312" w:cs="Times New Roman"/>
          <w:szCs w:val="28"/>
        </w:rPr>
        <w:t>——每种风险物质的存在量，t；</w:t>
      </w:r>
    </w:p>
    <w:p>
      <w:pPr>
        <w:widowControl/>
        <w:ind w:firstLine="1400" w:firstLineChars="500"/>
        <w:rPr>
          <w:rFonts w:ascii="Times New Roman" w:hAnsi="Times New Roman" w:eastAsia="仿宋GB_2312" w:cs="Times New Roman"/>
          <w:szCs w:val="28"/>
        </w:rPr>
      </w:pPr>
      <w:r>
        <w:rPr>
          <w:rFonts w:ascii="Times New Roman" w:hAnsi="Times New Roman" w:eastAsia="仿宋GB_2312" w:cs="Times New Roman"/>
          <w:szCs w:val="28"/>
        </w:rPr>
        <w:t>W</w:t>
      </w:r>
      <w:r>
        <w:rPr>
          <w:rFonts w:ascii="Times New Roman" w:hAnsi="Times New Roman" w:eastAsia="仿宋GB_2312" w:cs="Times New Roman"/>
          <w:szCs w:val="28"/>
          <w:vertAlign w:val="subscript"/>
        </w:rPr>
        <w:t>1</w:t>
      </w:r>
      <w:r>
        <w:rPr>
          <w:rFonts w:ascii="Times New Roman" w:hAnsi="Times New Roman" w:eastAsia="仿宋GB_2312" w:cs="Times New Roman"/>
          <w:szCs w:val="28"/>
        </w:rPr>
        <w:t>，W</w:t>
      </w:r>
      <w:r>
        <w:rPr>
          <w:rFonts w:ascii="Times New Roman" w:hAnsi="Times New Roman" w:eastAsia="仿宋GB_2312" w:cs="Times New Roman"/>
          <w:szCs w:val="28"/>
          <w:vertAlign w:val="subscript"/>
        </w:rPr>
        <w:t>2</w:t>
      </w:r>
      <w:r>
        <w:rPr>
          <w:rFonts w:ascii="Times New Roman" w:hAnsi="Times New Roman" w:eastAsia="仿宋GB_2312" w:cs="Times New Roman"/>
          <w:szCs w:val="28"/>
        </w:rPr>
        <w:t>，…，W</w:t>
      </w:r>
      <w:r>
        <w:rPr>
          <w:rFonts w:ascii="Times New Roman" w:hAnsi="Times New Roman" w:eastAsia="仿宋GB_2312" w:cs="Times New Roman"/>
          <w:szCs w:val="28"/>
          <w:vertAlign w:val="subscript"/>
        </w:rPr>
        <w:t>n</w:t>
      </w:r>
      <w:r>
        <w:rPr>
          <w:rFonts w:ascii="Times New Roman" w:hAnsi="Times New Roman" w:eastAsia="仿宋GB_2312" w:cs="Times New Roman"/>
          <w:szCs w:val="28"/>
        </w:rPr>
        <w:t>——每种风险物质的临界量，t。</w:t>
      </w:r>
    </w:p>
    <w:p>
      <w:pPr>
        <w:ind w:firstLine="560"/>
        <w:rPr>
          <w:rFonts w:ascii="Times New Roman" w:hAnsi="Times New Roman" w:eastAsia="仿宋" w:cs="Times New Roman"/>
          <w:szCs w:val="28"/>
        </w:rPr>
      </w:pPr>
      <w:r>
        <w:rPr>
          <w:rFonts w:ascii="Times New Roman" w:hAnsi="Times New Roman" w:eastAsia="仿宋" w:cs="Times New Roman"/>
          <w:szCs w:val="28"/>
        </w:rPr>
        <w:t>本项目所涉及的风险物质存放量见表7.1-1。</w:t>
      </w:r>
    </w:p>
    <w:p>
      <w:pPr>
        <w:adjustRightInd w:val="0"/>
        <w:snapToGrid w:val="0"/>
        <w:spacing w:before="194" w:beforeLines="50"/>
        <w:ind w:firstLine="480"/>
        <w:jc w:val="center"/>
        <w:rPr>
          <w:rFonts w:ascii="Times New Roman" w:hAnsi="Times New Roman" w:eastAsia="仿宋" w:cs="Times New Roman"/>
          <w:b/>
          <w:sz w:val="24"/>
          <w:szCs w:val="24"/>
        </w:rPr>
      </w:pPr>
      <w:r>
        <w:rPr>
          <w:rFonts w:ascii="Times New Roman" w:hAnsi="Times New Roman" w:eastAsia="仿宋" w:cs="Times New Roman"/>
          <w:b/>
          <w:sz w:val="24"/>
          <w:szCs w:val="24"/>
        </w:rPr>
        <w:t xml:space="preserve">表7.1-1 </w:t>
      </w:r>
      <w:r>
        <w:rPr>
          <w:rFonts w:ascii="Times New Roman" w:hAnsi="Times New Roman" w:eastAsia="仿宋" w:cs="Times New Roman"/>
          <w:b/>
          <w:color w:val="FF0000"/>
          <w:sz w:val="24"/>
          <w:szCs w:val="24"/>
        </w:rPr>
        <w:t xml:space="preserve">  </w:t>
      </w:r>
      <w:r>
        <w:rPr>
          <w:rFonts w:ascii="Times New Roman" w:hAnsi="Times New Roman" w:eastAsia="仿宋" w:cs="Times New Roman"/>
          <w:b/>
          <w:sz w:val="24"/>
          <w:szCs w:val="24"/>
        </w:rPr>
        <w:t>西咸新区秦汉新城朝阳污水处理厂存放的风险物质储量基本情况</w:t>
      </w:r>
    </w:p>
    <w:tbl>
      <w:tblPr>
        <w:tblStyle w:val="21"/>
        <w:tblW w:w="9105"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15"/>
        <w:gridCol w:w="1332"/>
        <w:gridCol w:w="2000"/>
        <w:gridCol w:w="1887"/>
        <w:gridCol w:w="1463"/>
        <w:gridCol w:w="150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680" w:hRule="atLeast"/>
          <w:tblHeader/>
          <w:jc w:val="center"/>
        </w:trPr>
        <w:tc>
          <w:tcPr>
            <w:tcW w:w="915" w:type="dxa"/>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序号</w:t>
            </w:r>
          </w:p>
        </w:tc>
        <w:tc>
          <w:tcPr>
            <w:tcW w:w="1332" w:type="dxa"/>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物质名称</w:t>
            </w:r>
          </w:p>
        </w:tc>
        <w:tc>
          <w:tcPr>
            <w:tcW w:w="2000" w:type="dxa"/>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最大贮存量(t)</w:t>
            </w:r>
          </w:p>
        </w:tc>
        <w:tc>
          <w:tcPr>
            <w:tcW w:w="1887" w:type="dxa"/>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物质临界量（t）</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qi/Qi</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是否为重大</w:t>
            </w:r>
          </w:p>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危险源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680" w:hRule="atLeast"/>
          <w:jc w:val="center"/>
        </w:trPr>
        <w:tc>
          <w:tcPr>
            <w:tcW w:w="915"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1</w:t>
            </w:r>
          </w:p>
        </w:tc>
        <w:tc>
          <w:tcPr>
            <w:tcW w:w="1332"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盐酸</w:t>
            </w:r>
          </w:p>
        </w:tc>
        <w:tc>
          <w:tcPr>
            <w:tcW w:w="2000"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0.005</w:t>
            </w:r>
          </w:p>
        </w:tc>
        <w:tc>
          <w:tcPr>
            <w:tcW w:w="1887" w:type="dxa"/>
            <w:vAlign w:val="center"/>
          </w:tcPr>
          <w:p>
            <w:pPr>
              <w:pStyle w:val="42"/>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20</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0.00025</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680" w:hRule="atLeast"/>
          <w:jc w:val="center"/>
        </w:trPr>
        <w:tc>
          <w:tcPr>
            <w:tcW w:w="915"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2</w:t>
            </w:r>
          </w:p>
        </w:tc>
        <w:tc>
          <w:tcPr>
            <w:tcW w:w="1332"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硫酸</w:t>
            </w:r>
          </w:p>
        </w:tc>
        <w:tc>
          <w:tcPr>
            <w:tcW w:w="2000"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0.04</w:t>
            </w:r>
          </w:p>
        </w:tc>
        <w:tc>
          <w:tcPr>
            <w:tcW w:w="1887" w:type="dxa"/>
            <w:vAlign w:val="center"/>
          </w:tcPr>
          <w:p>
            <w:pPr>
              <w:pStyle w:val="42"/>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100</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0.0004</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680" w:hRule="atLeast"/>
          <w:jc w:val="center"/>
        </w:trPr>
        <w:tc>
          <w:tcPr>
            <w:tcW w:w="915"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3</w:t>
            </w:r>
          </w:p>
        </w:tc>
        <w:tc>
          <w:tcPr>
            <w:tcW w:w="1332"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废机油</w:t>
            </w:r>
          </w:p>
        </w:tc>
        <w:tc>
          <w:tcPr>
            <w:tcW w:w="2000"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0.02</w:t>
            </w:r>
          </w:p>
        </w:tc>
        <w:tc>
          <w:tcPr>
            <w:tcW w:w="1887" w:type="dxa"/>
            <w:vAlign w:val="center"/>
          </w:tcPr>
          <w:p>
            <w:pPr>
              <w:pStyle w:val="42"/>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2500</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 xml:space="preserve">0.000008        </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680" w:hRule="atLeast"/>
          <w:jc w:val="center"/>
        </w:trPr>
        <w:tc>
          <w:tcPr>
            <w:tcW w:w="6134" w:type="dxa"/>
            <w:gridSpan w:val="4"/>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∑qi/Qi</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0.00066</w:t>
            </w:r>
          </w:p>
        </w:tc>
        <w:tc>
          <w:tcPr>
            <w:tcW w:w="1508"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bl>
    <w:p>
      <w:pPr>
        <w:ind w:firstLine="565" w:firstLineChars="202"/>
        <w:contextualSpacing/>
        <w:rPr>
          <w:rFonts w:ascii="Times New Roman" w:hAnsi="Times New Roman" w:eastAsia="仿宋GB_2312" w:cs="Times New Roman"/>
          <w:szCs w:val="28"/>
        </w:rPr>
      </w:pPr>
      <w:r>
        <w:rPr>
          <w:rFonts w:ascii="Times New Roman" w:hAnsi="Times New Roman" w:eastAsia="仿宋GB_2312" w:cs="Times New Roman"/>
          <w:szCs w:val="28"/>
        </w:rPr>
        <w:t>按数值大小，将Q划分为4个水平：</w:t>
      </w:r>
    </w:p>
    <w:p>
      <w:pPr>
        <w:numPr>
          <w:ilvl w:val="0"/>
          <w:numId w:val="2"/>
        </w:numPr>
        <w:ind w:firstLine="565" w:firstLineChars="202"/>
        <w:contextualSpacing/>
        <w:rPr>
          <w:rFonts w:ascii="Times New Roman" w:hAnsi="Times New Roman" w:eastAsia="仿宋GB_2312" w:cs="Times New Roman"/>
          <w:szCs w:val="28"/>
        </w:rPr>
      </w:pPr>
      <w:r>
        <w:rPr>
          <w:rFonts w:ascii="Times New Roman" w:hAnsi="Times New Roman" w:eastAsia="仿宋GB_2312" w:cs="Times New Roman"/>
          <w:szCs w:val="28"/>
        </w:rPr>
        <w:t>Q&lt;1，以Q0表示，企业直接评为一般环境风险等级；</w:t>
      </w:r>
    </w:p>
    <w:p>
      <w:pPr>
        <w:ind w:left="566" w:leftChars="202" w:firstLine="0" w:firstLineChars="0"/>
        <w:contextualSpacing/>
        <w:rPr>
          <w:rFonts w:ascii="Times New Roman" w:hAnsi="Times New Roman" w:eastAsia="仿宋GB_2312" w:cs="Times New Roman"/>
          <w:szCs w:val="28"/>
        </w:rPr>
      </w:pPr>
      <w:r>
        <w:rPr>
          <w:rFonts w:ascii="Times New Roman" w:hAnsi="Times New Roman" w:eastAsia="仿宋GB_2312" w:cs="Times New Roman"/>
          <w:szCs w:val="28"/>
        </w:rPr>
        <w:t>（2）1≤Q&lt;10，以Q1表示；</w:t>
      </w:r>
    </w:p>
    <w:p>
      <w:pPr>
        <w:ind w:left="566" w:leftChars="202" w:firstLine="0" w:firstLineChars="0"/>
        <w:contextualSpacing/>
        <w:rPr>
          <w:rFonts w:ascii="Times New Roman" w:hAnsi="Times New Roman" w:eastAsia="仿宋GB_2312" w:cs="Times New Roman"/>
          <w:szCs w:val="28"/>
        </w:rPr>
      </w:pPr>
      <w:r>
        <w:rPr>
          <w:rFonts w:ascii="Times New Roman" w:hAnsi="Times New Roman" w:eastAsia="仿宋GB_2312" w:cs="Times New Roman"/>
          <w:szCs w:val="28"/>
        </w:rPr>
        <w:t>（3）10≤Q&lt;100，以Q2表示；</w:t>
      </w:r>
    </w:p>
    <w:p>
      <w:pPr>
        <w:ind w:left="566" w:leftChars="202" w:firstLine="0" w:firstLineChars="0"/>
        <w:contextualSpacing/>
        <w:rPr>
          <w:rFonts w:ascii="Times New Roman" w:hAnsi="Times New Roman" w:eastAsia="仿宋GB_2312" w:cs="Times New Roman"/>
          <w:szCs w:val="28"/>
        </w:rPr>
      </w:pPr>
      <w:r>
        <w:rPr>
          <w:rFonts w:ascii="Times New Roman" w:hAnsi="Times New Roman" w:eastAsia="仿宋GB_2312" w:cs="Times New Roman"/>
          <w:szCs w:val="28"/>
        </w:rPr>
        <w:t>（4）Q≥100，以Q3表示。</w:t>
      </w:r>
    </w:p>
    <w:p>
      <w:pPr>
        <w:ind w:firstLine="560"/>
        <w:jc w:val="both"/>
        <w:rPr>
          <w:rFonts w:ascii="Times New Roman" w:hAnsi="Times New Roman" w:cs="Times New Roman"/>
          <w:b/>
          <w:szCs w:val="28"/>
        </w:rPr>
      </w:pPr>
      <w:bookmarkStart w:id="275" w:name="_Toc365234562"/>
      <w:bookmarkStart w:id="276" w:name="_Toc427244301"/>
      <w:bookmarkStart w:id="277" w:name="_Toc436037827"/>
      <w:bookmarkStart w:id="278" w:name="_Toc419208995"/>
      <w:r>
        <w:rPr>
          <w:rFonts w:ascii="Times New Roman" w:hAnsi="Times New Roman" w:cs="Times New Roman"/>
        </w:rPr>
        <w:t>本厂涉气风险物质与其临界量的比值Q=0.00066</w:t>
      </w:r>
      <w:r>
        <w:rPr>
          <w:rFonts w:ascii="Times New Roman" w:hAnsi="Times New Roman" w:eastAsia="仿宋GB_2312" w:cs="Times New Roman"/>
          <w:szCs w:val="28"/>
        </w:rPr>
        <w:t>&lt;1</w:t>
      </w:r>
      <w:r>
        <w:rPr>
          <w:rFonts w:ascii="Times New Roman" w:hAnsi="Times New Roman" w:cs="Times New Roman"/>
        </w:rPr>
        <w:t>，</w:t>
      </w:r>
      <w:bookmarkEnd w:id="275"/>
      <w:bookmarkEnd w:id="276"/>
      <w:bookmarkEnd w:id="277"/>
      <w:bookmarkEnd w:id="278"/>
      <w:r>
        <w:rPr>
          <w:rFonts w:ascii="Times New Roman" w:hAnsi="Times New Roman" w:cs="Times New Roman"/>
        </w:rPr>
        <w:t>以</w:t>
      </w:r>
      <w:r>
        <w:rPr>
          <w:rFonts w:ascii="Times New Roman" w:hAnsi="Times New Roman" w:eastAsia="仿宋GB_2312" w:cs="Times New Roman"/>
          <w:b/>
          <w:bCs/>
          <w:szCs w:val="28"/>
        </w:rPr>
        <w:t>Q0</w:t>
      </w:r>
      <w:r>
        <w:rPr>
          <w:rFonts w:ascii="Times New Roman" w:hAnsi="Times New Roman" w:eastAsia="仿宋GB_2312" w:cs="Times New Roman"/>
          <w:szCs w:val="28"/>
        </w:rPr>
        <w:t>表示</w:t>
      </w:r>
      <w:r>
        <w:rPr>
          <w:rFonts w:ascii="Times New Roman" w:hAnsi="Times New Roman" w:cs="Times New Roman"/>
          <w:b/>
          <w:szCs w:val="28"/>
        </w:rPr>
        <w:t>。</w:t>
      </w:r>
    </w:p>
    <w:p>
      <w:pPr>
        <w:ind w:firstLine="560"/>
        <w:rPr>
          <w:rFonts w:ascii="Times New Roman" w:hAnsi="Times New Roman" w:cs="Times New Roman"/>
        </w:rPr>
      </w:pPr>
      <w:r>
        <w:rPr>
          <w:rFonts w:ascii="Times New Roman" w:hAnsi="Times New Roman" w:cs="Times New Roman"/>
        </w:rPr>
        <w:t>因此，本厂突发大气环境事件风险等级表示为“一般-大气（Q0）”。</w:t>
      </w:r>
    </w:p>
    <w:p>
      <w:pPr>
        <w:pStyle w:val="3"/>
        <w:sectPr>
          <w:pgSz w:w="11906" w:h="16838"/>
          <w:pgMar w:top="1417" w:right="1417" w:bottom="1417" w:left="1417" w:header="851" w:footer="992" w:gutter="0"/>
          <w:cols w:space="0" w:num="1"/>
          <w:docGrid w:type="lines" w:linePitch="389" w:charSpace="0"/>
        </w:sectPr>
      </w:pPr>
    </w:p>
    <w:p>
      <w:pPr>
        <w:pStyle w:val="3"/>
      </w:pPr>
      <w:bookmarkStart w:id="279" w:name="_Toc10100"/>
      <w:r>
        <w:t>8突发水环境事件风险分级</w:t>
      </w:r>
      <w:bookmarkEnd w:id="279"/>
    </w:p>
    <w:p>
      <w:pPr>
        <w:pStyle w:val="2"/>
        <w:rPr>
          <w:rFonts w:eastAsia="仿宋GB_2312"/>
          <w:szCs w:val="30"/>
        </w:rPr>
      </w:pPr>
      <w:bookmarkStart w:id="280" w:name="_Toc4629"/>
      <w:r>
        <w:rPr>
          <w:rFonts w:eastAsia="仿宋GB_2312"/>
          <w:szCs w:val="30"/>
        </w:rPr>
        <w:t>8.1计算涉水风险物质数量与临界量比值（Q）</w:t>
      </w:r>
      <w:bookmarkEnd w:id="280"/>
    </w:p>
    <w:p>
      <w:pPr>
        <w:widowControl/>
        <w:ind w:firstLine="560"/>
        <w:rPr>
          <w:rFonts w:ascii="Times New Roman" w:hAnsi="Times New Roman" w:eastAsia="仿宋GB_2312" w:cs="Times New Roman"/>
          <w:szCs w:val="28"/>
        </w:rPr>
      </w:pPr>
      <w:r>
        <w:rPr>
          <w:rFonts w:ascii="Times New Roman" w:hAnsi="Times New Roman" w:eastAsia="仿宋GB_2312" w:cs="Times New Roman"/>
          <w:szCs w:val="28"/>
        </w:rPr>
        <w:t>按照</w:t>
      </w:r>
      <w:r>
        <w:rPr>
          <w:rFonts w:ascii="Times New Roman" w:hAnsi="Times New Roman" w:cs="Times New Roman"/>
        </w:rPr>
        <w:t>《企业突发环境事件风险分级方法》（HJ 941-2018）</w:t>
      </w:r>
      <w:r>
        <w:rPr>
          <w:rFonts w:ascii="Times New Roman" w:hAnsi="Times New Roman" w:eastAsia="仿宋GB_2312" w:cs="Times New Roman"/>
          <w:szCs w:val="28"/>
        </w:rPr>
        <w:t>中的规定，判断企业生产原料、产品、中间产品、副产品、催化剂、辅助生产物料、燃料、“三废”污染物等是否涉及水风险物质（混合或稀释的风险物质按其组分比例折算成纯物质），计算涉水风险物质在厂界内的存在量（如存在量呈动态变化，则按年度内最大存在量计算）与其在附录A中临界量的比值Q：</w:t>
      </w:r>
    </w:p>
    <w:p>
      <w:pPr>
        <w:widowControl/>
        <w:ind w:firstLine="560"/>
        <w:jc w:val="both"/>
        <w:rPr>
          <w:rFonts w:ascii="Times New Roman" w:hAnsi="Times New Roman" w:eastAsia="仿宋GB_2312" w:cs="Times New Roman"/>
          <w:position w:val="-30"/>
          <w:szCs w:val="28"/>
        </w:rPr>
      </w:pPr>
      <w:r>
        <w:rPr>
          <w:rFonts w:ascii="Times New Roman" w:hAnsi="Times New Roman" w:eastAsia="仿宋GB_2312" w:cs="Times New Roman"/>
          <w:position w:val="-30"/>
          <w:szCs w:val="28"/>
        </w:rPr>
        <w:t>（1）当企业只涉及一种风险物质时，该物质的数量与其临界比值，即为Q。</w:t>
      </w:r>
    </w:p>
    <w:p>
      <w:pPr>
        <w:widowControl/>
        <w:ind w:firstLine="560"/>
        <w:jc w:val="both"/>
        <w:rPr>
          <w:rFonts w:ascii="Times New Roman" w:hAnsi="Times New Roman" w:eastAsia="仿宋GB_2312" w:cs="Times New Roman"/>
          <w:position w:val="-30"/>
          <w:szCs w:val="28"/>
        </w:rPr>
      </w:pPr>
      <w:r>
        <w:rPr>
          <w:rFonts w:ascii="Times New Roman" w:hAnsi="Times New Roman" w:eastAsia="仿宋GB_2312" w:cs="Times New Roman"/>
          <w:position w:val="-30"/>
          <w:szCs w:val="28"/>
        </w:rPr>
        <w:t>（2）当企业存在多种风险物质时，则按式（1）计算：</w:t>
      </w:r>
    </w:p>
    <w:p>
      <w:pPr>
        <w:widowControl/>
        <w:ind w:firstLine="560"/>
        <w:jc w:val="center"/>
        <w:rPr>
          <w:rFonts w:ascii="Times New Roman" w:hAnsi="Times New Roman" w:eastAsia="仿宋GB_2312" w:cs="Times New Roman"/>
          <w:szCs w:val="28"/>
        </w:rPr>
      </w:pPr>
      <w:r>
        <w:rPr>
          <w:rFonts w:ascii="Times New Roman" w:hAnsi="Times New Roman" w:eastAsia="仿宋GB_2312" w:cs="Times New Roman"/>
          <w:position w:val="-30"/>
          <w:szCs w:val="28"/>
        </w:rPr>
        <w:pict>
          <v:shape id="_x0000_i1026" o:spt="75" type="#_x0000_t75" style="height:42.9pt;width:216pt;" filled="f" o:preferrelative="t" stroked="f" coordsize="21600,21600">
            <v:path/>
            <v:fill on="f" focussize="0,0"/>
            <v:stroke on="f" joinstyle="miter"/>
            <v:imagedata r:id="rId16" o:title=""/>
            <o:lock v:ext="edit" aspectratio="t"/>
            <w10:wrap type="none"/>
            <w10:anchorlock/>
          </v:shape>
        </w:pict>
      </w:r>
      <w:r>
        <w:rPr>
          <w:rFonts w:ascii="Times New Roman" w:hAnsi="Times New Roman" w:eastAsia="仿宋GB_2312" w:cs="Times New Roman"/>
          <w:szCs w:val="28"/>
        </w:rPr>
        <w:t>（1）</w:t>
      </w:r>
    </w:p>
    <w:p>
      <w:pPr>
        <w:widowControl/>
        <w:ind w:firstLine="560"/>
        <w:rPr>
          <w:rFonts w:ascii="Times New Roman" w:hAnsi="Times New Roman" w:eastAsia="仿宋GB_2312" w:cs="Times New Roman"/>
          <w:szCs w:val="28"/>
        </w:rPr>
      </w:pPr>
      <w:r>
        <w:rPr>
          <w:rFonts w:ascii="Times New Roman" w:hAnsi="Times New Roman" w:eastAsia="仿宋GB_2312" w:cs="Times New Roman"/>
          <w:szCs w:val="28"/>
        </w:rPr>
        <w:t>式中：w</w:t>
      </w:r>
      <w:r>
        <w:rPr>
          <w:rFonts w:ascii="Times New Roman" w:hAnsi="Times New Roman" w:eastAsia="仿宋GB_2312" w:cs="Times New Roman"/>
          <w:szCs w:val="28"/>
          <w:vertAlign w:val="subscript"/>
        </w:rPr>
        <w:t>1</w:t>
      </w:r>
      <w:r>
        <w:rPr>
          <w:rFonts w:ascii="Times New Roman" w:hAnsi="Times New Roman" w:eastAsia="仿宋GB_2312" w:cs="Times New Roman"/>
          <w:szCs w:val="28"/>
        </w:rPr>
        <w:t>，w</w:t>
      </w:r>
      <w:r>
        <w:rPr>
          <w:rFonts w:ascii="Times New Roman" w:hAnsi="Times New Roman" w:eastAsia="仿宋GB_2312" w:cs="Times New Roman"/>
          <w:szCs w:val="28"/>
          <w:vertAlign w:val="subscript"/>
        </w:rPr>
        <w:t>2</w:t>
      </w:r>
      <w:r>
        <w:rPr>
          <w:rFonts w:ascii="Times New Roman" w:hAnsi="Times New Roman" w:eastAsia="仿宋GB_2312" w:cs="Times New Roman"/>
          <w:szCs w:val="28"/>
        </w:rPr>
        <w:t>…，w</w:t>
      </w:r>
      <w:r>
        <w:rPr>
          <w:rFonts w:ascii="Times New Roman" w:hAnsi="Times New Roman" w:eastAsia="仿宋GB_2312" w:cs="Times New Roman"/>
          <w:szCs w:val="28"/>
          <w:vertAlign w:val="subscript"/>
        </w:rPr>
        <w:t>n</w:t>
      </w:r>
      <w:r>
        <w:rPr>
          <w:rFonts w:ascii="Times New Roman" w:hAnsi="Times New Roman" w:eastAsia="仿宋GB_2312" w:cs="Times New Roman"/>
          <w:szCs w:val="28"/>
        </w:rPr>
        <w:t>——每种风险物质的存在量，t；</w:t>
      </w:r>
    </w:p>
    <w:p>
      <w:pPr>
        <w:widowControl/>
        <w:ind w:firstLine="1400" w:firstLineChars="500"/>
        <w:rPr>
          <w:rFonts w:ascii="Times New Roman" w:hAnsi="Times New Roman" w:eastAsia="仿宋GB_2312" w:cs="Times New Roman"/>
          <w:szCs w:val="28"/>
        </w:rPr>
      </w:pPr>
      <w:r>
        <w:rPr>
          <w:rFonts w:ascii="Times New Roman" w:hAnsi="Times New Roman" w:eastAsia="仿宋GB_2312" w:cs="Times New Roman"/>
          <w:szCs w:val="28"/>
        </w:rPr>
        <w:t>W</w:t>
      </w:r>
      <w:r>
        <w:rPr>
          <w:rFonts w:ascii="Times New Roman" w:hAnsi="Times New Roman" w:eastAsia="仿宋GB_2312" w:cs="Times New Roman"/>
          <w:szCs w:val="28"/>
          <w:vertAlign w:val="subscript"/>
        </w:rPr>
        <w:t>1</w:t>
      </w:r>
      <w:r>
        <w:rPr>
          <w:rFonts w:ascii="Times New Roman" w:hAnsi="Times New Roman" w:eastAsia="仿宋GB_2312" w:cs="Times New Roman"/>
          <w:szCs w:val="28"/>
        </w:rPr>
        <w:t>，W</w:t>
      </w:r>
      <w:r>
        <w:rPr>
          <w:rFonts w:ascii="Times New Roman" w:hAnsi="Times New Roman" w:eastAsia="仿宋GB_2312" w:cs="Times New Roman"/>
          <w:szCs w:val="28"/>
          <w:vertAlign w:val="subscript"/>
        </w:rPr>
        <w:t>2</w:t>
      </w:r>
      <w:r>
        <w:rPr>
          <w:rFonts w:ascii="Times New Roman" w:hAnsi="Times New Roman" w:eastAsia="仿宋GB_2312" w:cs="Times New Roman"/>
          <w:szCs w:val="28"/>
        </w:rPr>
        <w:t>，…，W</w:t>
      </w:r>
      <w:r>
        <w:rPr>
          <w:rFonts w:ascii="Times New Roman" w:hAnsi="Times New Roman" w:eastAsia="仿宋GB_2312" w:cs="Times New Roman"/>
          <w:szCs w:val="28"/>
          <w:vertAlign w:val="subscript"/>
        </w:rPr>
        <w:t>n</w:t>
      </w:r>
      <w:r>
        <w:rPr>
          <w:rFonts w:ascii="Times New Roman" w:hAnsi="Times New Roman" w:eastAsia="仿宋GB_2312" w:cs="Times New Roman"/>
          <w:szCs w:val="28"/>
        </w:rPr>
        <w:t>——每种风险物质的临界量，t。</w:t>
      </w:r>
    </w:p>
    <w:p>
      <w:pPr>
        <w:ind w:firstLine="560"/>
        <w:rPr>
          <w:rFonts w:ascii="Times New Roman" w:hAnsi="Times New Roman" w:eastAsia="仿宋" w:cs="Times New Roman"/>
          <w:szCs w:val="28"/>
        </w:rPr>
      </w:pPr>
      <w:r>
        <w:rPr>
          <w:rFonts w:ascii="Times New Roman" w:hAnsi="Times New Roman" w:eastAsia="仿宋" w:cs="Times New Roman"/>
          <w:szCs w:val="28"/>
        </w:rPr>
        <w:t>本厂所涉及的风险物质存放量见表8.1-1。</w:t>
      </w:r>
    </w:p>
    <w:p>
      <w:pPr>
        <w:adjustRightInd w:val="0"/>
        <w:snapToGrid w:val="0"/>
        <w:spacing w:before="194" w:beforeLines="50"/>
        <w:ind w:firstLine="480"/>
        <w:jc w:val="center"/>
        <w:rPr>
          <w:rFonts w:ascii="Times New Roman" w:hAnsi="Times New Roman" w:eastAsia="仿宋" w:cs="Times New Roman"/>
          <w:b/>
          <w:sz w:val="24"/>
          <w:szCs w:val="24"/>
        </w:rPr>
      </w:pPr>
      <w:r>
        <w:rPr>
          <w:rFonts w:ascii="Times New Roman" w:hAnsi="Times New Roman" w:eastAsia="仿宋" w:cs="Times New Roman"/>
          <w:b/>
          <w:sz w:val="24"/>
          <w:szCs w:val="24"/>
        </w:rPr>
        <w:t xml:space="preserve">表8.1-1 </w:t>
      </w:r>
      <w:r>
        <w:rPr>
          <w:rFonts w:ascii="Times New Roman" w:hAnsi="Times New Roman" w:eastAsia="仿宋" w:cs="Times New Roman"/>
          <w:b/>
          <w:color w:val="FF0000"/>
          <w:sz w:val="24"/>
          <w:szCs w:val="24"/>
        </w:rPr>
        <w:t xml:space="preserve">  </w:t>
      </w:r>
      <w:r>
        <w:rPr>
          <w:rFonts w:ascii="Times New Roman" w:hAnsi="Times New Roman" w:eastAsia="仿宋" w:cs="Times New Roman"/>
          <w:b/>
          <w:sz w:val="24"/>
          <w:szCs w:val="24"/>
        </w:rPr>
        <w:t>西咸新区秦汉新城朝阳污水处理厂存放的风险物质储量基本情况</w:t>
      </w:r>
    </w:p>
    <w:tbl>
      <w:tblPr>
        <w:tblStyle w:val="21"/>
        <w:tblW w:w="9105" w:type="dxa"/>
        <w:jc w:val="center"/>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15"/>
        <w:gridCol w:w="1332"/>
        <w:gridCol w:w="2000"/>
        <w:gridCol w:w="1887"/>
        <w:gridCol w:w="1463"/>
        <w:gridCol w:w="150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tblHeader/>
          <w:jc w:val="center"/>
        </w:trPr>
        <w:tc>
          <w:tcPr>
            <w:tcW w:w="915" w:type="dxa"/>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序号</w:t>
            </w:r>
          </w:p>
        </w:tc>
        <w:tc>
          <w:tcPr>
            <w:tcW w:w="1332" w:type="dxa"/>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物质名称</w:t>
            </w:r>
          </w:p>
        </w:tc>
        <w:tc>
          <w:tcPr>
            <w:tcW w:w="2000" w:type="dxa"/>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最大贮存量(t)</w:t>
            </w:r>
          </w:p>
        </w:tc>
        <w:tc>
          <w:tcPr>
            <w:tcW w:w="1887" w:type="dxa"/>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物质临界量（t）</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qi/Qi</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是否为重大</w:t>
            </w:r>
          </w:p>
          <w:p>
            <w:pPr>
              <w:pStyle w:val="43"/>
              <w:spacing w:line="240" w:lineRule="auto"/>
              <w:ind w:firstLine="0" w:firstLineChars="0"/>
              <w:rPr>
                <w:rFonts w:ascii="Times New Roman" w:hAnsi="Times New Roman" w:eastAsia="仿宋" w:cs="Times New Roman"/>
                <w:b/>
                <w:bCs/>
                <w:color w:val="000000"/>
                <w:sz w:val="21"/>
              </w:rPr>
            </w:pPr>
            <w:r>
              <w:rPr>
                <w:rFonts w:ascii="Times New Roman" w:hAnsi="Times New Roman" w:eastAsia="仿宋" w:cs="Times New Roman"/>
                <w:b/>
                <w:bCs/>
                <w:color w:val="000000"/>
                <w:sz w:val="21"/>
              </w:rPr>
              <w:t>危险源</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1</w:t>
            </w:r>
          </w:p>
        </w:tc>
        <w:tc>
          <w:tcPr>
            <w:tcW w:w="1332" w:type="dxa"/>
            <w:vAlign w:val="center"/>
          </w:tcPr>
          <w:p>
            <w:pPr>
              <w:widowControl/>
              <w:spacing w:line="300" w:lineRule="atLeast"/>
              <w:ind w:firstLine="0" w:firstLineChars="0"/>
              <w:jc w:val="center"/>
              <w:rPr>
                <w:rFonts w:ascii="Times New Roman" w:hAnsi="Times New Roman" w:eastAsia="仿宋" w:cs="Times New Roman"/>
                <w:color w:val="000000"/>
                <w:sz w:val="21"/>
              </w:rPr>
            </w:pPr>
            <w:r>
              <w:rPr>
                <w:rFonts w:ascii="Times New Roman" w:hAnsi="Times New Roman" w:eastAsia="仿宋" w:cs="Times New Roman"/>
                <w:kern w:val="0"/>
                <w:sz w:val="21"/>
                <w:szCs w:val="21"/>
              </w:rPr>
              <w:t>硫酸</w:t>
            </w:r>
          </w:p>
        </w:tc>
        <w:tc>
          <w:tcPr>
            <w:tcW w:w="2000"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0.04</w:t>
            </w:r>
          </w:p>
        </w:tc>
        <w:tc>
          <w:tcPr>
            <w:tcW w:w="1887" w:type="dxa"/>
            <w:vAlign w:val="center"/>
          </w:tcPr>
          <w:p>
            <w:pPr>
              <w:pStyle w:val="42"/>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100</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0.0004</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2</w:t>
            </w:r>
          </w:p>
        </w:tc>
        <w:tc>
          <w:tcPr>
            <w:tcW w:w="1332" w:type="dxa"/>
            <w:vAlign w:val="center"/>
          </w:tcPr>
          <w:p>
            <w:pPr>
              <w:widowControl/>
              <w:spacing w:line="300" w:lineRule="atLeast"/>
              <w:ind w:firstLine="0" w:firstLineChars="0"/>
              <w:jc w:val="center"/>
              <w:rPr>
                <w:rFonts w:ascii="Times New Roman" w:hAnsi="Times New Roman" w:eastAsia="仿宋" w:cs="Times New Roman"/>
                <w:color w:val="000000"/>
                <w:sz w:val="21"/>
              </w:rPr>
            </w:pPr>
            <w:r>
              <w:rPr>
                <w:rFonts w:ascii="Times New Roman" w:hAnsi="Times New Roman" w:eastAsia="仿宋" w:cs="Times New Roman"/>
                <w:kern w:val="0"/>
                <w:sz w:val="21"/>
                <w:szCs w:val="21"/>
              </w:rPr>
              <w:t>盐酸</w:t>
            </w:r>
          </w:p>
        </w:tc>
        <w:tc>
          <w:tcPr>
            <w:tcW w:w="2000"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0.005</w:t>
            </w:r>
          </w:p>
        </w:tc>
        <w:tc>
          <w:tcPr>
            <w:tcW w:w="1887" w:type="dxa"/>
            <w:vAlign w:val="center"/>
          </w:tcPr>
          <w:p>
            <w:pPr>
              <w:pStyle w:val="42"/>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20</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0.00025</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3</w:t>
            </w:r>
          </w:p>
        </w:tc>
        <w:tc>
          <w:tcPr>
            <w:tcW w:w="1332" w:type="dxa"/>
            <w:vAlign w:val="center"/>
          </w:tcPr>
          <w:p>
            <w:pPr>
              <w:pStyle w:val="43"/>
              <w:spacing w:line="320" w:lineRule="exact"/>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shd w:val="clear" w:color="auto" w:fill="FFFFFF"/>
              </w:rPr>
              <w:t>聚合氯化铝（PAC）</w:t>
            </w:r>
          </w:p>
        </w:tc>
        <w:tc>
          <w:tcPr>
            <w:tcW w:w="2000"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50</w:t>
            </w:r>
          </w:p>
        </w:tc>
        <w:tc>
          <w:tcPr>
            <w:tcW w:w="1887" w:type="dxa"/>
            <w:vAlign w:val="center"/>
          </w:tcPr>
          <w:p>
            <w:pPr>
              <w:pStyle w:val="42"/>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915"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4</w:t>
            </w:r>
          </w:p>
        </w:tc>
        <w:tc>
          <w:tcPr>
            <w:tcW w:w="1332" w:type="dxa"/>
            <w:vAlign w:val="center"/>
          </w:tcPr>
          <w:p>
            <w:pPr>
              <w:pStyle w:val="43"/>
              <w:spacing w:line="320" w:lineRule="exact"/>
              <w:ind w:firstLine="0" w:firstLineChars="0"/>
              <w:rPr>
                <w:rFonts w:ascii="Times New Roman" w:hAnsi="Times New Roman" w:eastAsia="仿宋" w:cs="Times New Roman"/>
                <w:color w:val="000000"/>
                <w:sz w:val="21"/>
              </w:rPr>
            </w:pPr>
            <w:r>
              <w:rPr>
                <w:rFonts w:ascii="Times New Roman" w:hAnsi="Times New Roman" w:cs="Times New Roman"/>
                <w:sz w:val="21"/>
              </w:rPr>
              <w:t>聚丙烯酰胺</w:t>
            </w:r>
            <w:r>
              <w:rPr>
                <w:rFonts w:ascii="Times New Roman" w:hAnsi="Times New Roman" w:eastAsia="仿宋" w:cs="Times New Roman"/>
                <w:color w:val="000000"/>
                <w:sz w:val="21"/>
              </w:rPr>
              <w:t>（PAM）</w:t>
            </w:r>
          </w:p>
        </w:tc>
        <w:tc>
          <w:tcPr>
            <w:tcW w:w="2000" w:type="dxa"/>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20</w:t>
            </w:r>
          </w:p>
        </w:tc>
        <w:tc>
          <w:tcPr>
            <w:tcW w:w="1887" w:type="dxa"/>
            <w:vAlign w:val="center"/>
          </w:tcPr>
          <w:p>
            <w:pPr>
              <w:pStyle w:val="42"/>
              <w:spacing w:line="240" w:lineRule="auto"/>
              <w:ind w:firstLine="0" w:firstLineChars="0"/>
              <w:rPr>
                <w:rFonts w:ascii="Times New Roman" w:hAnsi="Times New Roman" w:eastAsia="仿宋" w:cs="Times New Roman"/>
                <w:color w:val="000000"/>
                <w:sz w:val="21"/>
                <w:szCs w:val="21"/>
              </w:rPr>
            </w:pPr>
            <w:r>
              <w:rPr>
                <w:rFonts w:ascii="Times New Roman" w:hAnsi="Times New Roman" w:eastAsia="仿宋" w:cs="Times New Roman"/>
                <w:color w:val="000000"/>
                <w:sz w:val="21"/>
                <w:szCs w:val="21"/>
              </w:rPr>
              <w:t>/</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454" w:hRule="atLeast"/>
          <w:jc w:val="center"/>
        </w:trPr>
        <w:tc>
          <w:tcPr>
            <w:tcW w:w="6134" w:type="dxa"/>
            <w:gridSpan w:val="4"/>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∑qi/Qi</w:t>
            </w:r>
          </w:p>
        </w:tc>
        <w:tc>
          <w:tcPr>
            <w:tcW w:w="1463" w:type="dxa"/>
            <w:tcBorders>
              <w:right w:val="single" w:color="auto" w:sz="4" w:space="0"/>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0.00065</w:t>
            </w:r>
          </w:p>
        </w:tc>
        <w:tc>
          <w:tcPr>
            <w:tcW w:w="1508" w:type="dxa"/>
            <w:tcBorders>
              <w:tl2br w:val="nil"/>
              <w:tr2bl w:val="nil"/>
            </w:tcBorders>
            <w:vAlign w:val="center"/>
          </w:tcPr>
          <w:p>
            <w:pPr>
              <w:pStyle w:val="43"/>
              <w:spacing w:line="240" w:lineRule="auto"/>
              <w:ind w:firstLine="0" w:firstLineChars="0"/>
              <w:rPr>
                <w:rFonts w:ascii="Times New Roman" w:hAnsi="Times New Roman" w:eastAsia="仿宋" w:cs="Times New Roman"/>
                <w:color w:val="000000"/>
                <w:sz w:val="21"/>
              </w:rPr>
            </w:pPr>
            <w:r>
              <w:rPr>
                <w:rFonts w:ascii="Times New Roman" w:hAnsi="Times New Roman" w:eastAsia="仿宋" w:cs="Times New Roman"/>
                <w:color w:val="000000"/>
                <w:sz w:val="21"/>
              </w:rPr>
              <w:t>否</w:t>
            </w:r>
          </w:p>
        </w:tc>
      </w:tr>
    </w:tbl>
    <w:p>
      <w:pPr>
        <w:ind w:firstLine="565" w:firstLineChars="202"/>
        <w:contextualSpacing/>
        <w:rPr>
          <w:rFonts w:ascii="Times New Roman" w:hAnsi="Times New Roman" w:eastAsia="仿宋GB_2312" w:cs="Times New Roman"/>
          <w:szCs w:val="28"/>
        </w:rPr>
      </w:pPr>
      <w:r>
        <w:rPr>
          <w:rFonts w:ascii="Times New Roman" w:hAnsi="Times New Roman" w:eastAsia="仿宋GB_2312" w:cs="Times New Roman"/>
          <w:szCs w:val="28"/>
        </w:rPr>
        <w:t>按数值大小，将Q划分为4个水平：</w:t>
      </w:r>
    </w:p>
    <w:p>
      <w:pPr>
        <w:numPr>
          <w:ilvl w:val="0"/>
          <w:numId w:val="2"/>
        </w:numPr>
        <w:ind w:firstLine="565" w:firstLineChars="202"/>
        <w:contextualSpacing/>
        <w:rPr>
          <w:rFonts w:ascii="Times New Roman" w:hAnsi="Times New Roman" w:eastAsia="仿宋GB_2312" w:cs="Times New Roman"/>
          <w:szCs w:val="28"/>
        </w:rPr>
      </w:pPr>
      <w:r>
        <w:rPr>
          <w:rFonts w:ascii="Times New Roman" w:hAnsi="Times New Roman" w:eastAsia="仿宋GB_2312" w:cs="Times New Roman"/>
          <w:szCs w:val="28"/>
        </w:rPr>
        <w:t>Q&lt;1，以Q0表示，企业直接评为一般环境风险等级；</w:t>
      </w:r>
    </w:p>
    <w:p>
      <w:pPr>
        <w:ind w:left="566" w:leftChars="202" w:firstLine="0" w:firstLineChars="0"/>
        <w:contextualSpacing/>
        <w:rPr>
          <w:rFonts w:ascii="Times New Roman" w:hAnsi="Times New Roman" w:eastAsia="仿宋GB_2312" w:cs="Times New Roman"/>
          <w:szCs w:val="28"/>
        </w:rPr>
      </w:pPr>
      <w:r>
        <w:rPr>
          <w:rFonts w:ascii="Times New Roman" w:hAnsi="Times New Roman" w:eastAsia="仿宋GB_2312" w:cs="Times New Roman"/>
          <w:szCs w:val="28"/>
        </w:rPr>
        <w:t>（2）1≤Q&lt;10，以Q1表示；</w:t>
      </w:r>
    </w:p>
    <w:p>
      <w:pPr>
        <w:ind w:left="566" w:leftChars="202" w:firstLine="0" w:firstLineChars="0"/>
        <w:contextualSpacing/>
        <w:rPr>
          <w:rFonts w:ascii="Times New Roman" w:hAnsi="Times New Roman" w:eastAsia="仿宋GB_2312" w:cs="Times New Roman"/>
          <w:szCs w:val="28"/>
        </w:rPr>
      </w:pPr>
      <w:r>
        <w:rPr>
          <w:rFonts w:ascii="Times New Roman" w:hAnsi="Times New Roman" w:eastAsia="仿宋GB_2312" w:cs="Times New Roman"/>
          <w:szCs w:val="28"/>
        </w:rPr>
        <w:t>（3）10≤Q&lt;100，以Q2表示；</w:t>
      </w:r>
    </w:p>
    <w:p>
      <w:pPr>
        <w:ind w:left="566" w:leftChars="202" w:firstLine="0" w:firstLineChars="0"/>
        <w:contextualSpacing/>
        <w:rPr>
          <w:rFonts w:ascii="Times New Roman" w:hAnsi="Times New Roman" w:eastAsia="仿宋GB_2312" w:cs="Times New Roman"/>
          <w:szCs w:val="28"/>
        </w:rPr>
      </w:pPr>
      <w:r>
        <w:rPr>
          <w:rFonts w:ascii="Times New Roman" w:hAnsi="Times New Roman" w:eastAsia="仿宋GB_2312" w:cs="Times New Roman"/>
          <w:szCs w:val="28"/>
        </w:rPr>
        <w:t>（4）Q≥100，以Q3表示。</w:t>
      </w:r>
    </w:p>
    <w:p>
      <w:pPr>
        <w:ind w:firstLine="560"/>
        <w:jc w:val="both"/>
        <w:rPr>
          <w:rFonts w:ascii="Times New Roman" w:hAnsi="Times New Roman" w:cs="Times New Roman"/>
          <w:b/>
          <w:szCs w:val="28"/>
        </w:rPr>
      </w:pPr>
      <w:r>
        <w:rPr>
          <w:rFonts w:ascii="Times New Roman" w:hAnsi="Times New Roman" w:cs="Times New Roman"/>
        </w:rPr>
        <w:t>本厂区涉水风险物质与其临界量的比值Q=0.00065</w:t>
      </w:r>
      <w:r>
        <w:rPr>
          <w:rFonts w:ascii="Times New Roman" w:hAnsi="Times New Roman" w:eastAsia="仿宋GB_2312" w:cs="Times New Roman"/>
          <w:szCs w:val="28"/>
        </w:rPr>
        <w:t>&lt;1</w:t>
      </w:r>
      <w:r>
        <w:rPr>
          <w:rFonts w:ascii="Times New Roman" w:hAnsi="Times New Roman" w:cs="Times New Roman"/>
        </w:rPr>
        <w:t>，以</w:t>
      </w:r>
      <w:r>
        <w:rPr>
          <w:rFonts w:ascii="Times New Roman" w:hAnsi="Times New Roman" w:eastAsia="仿宋GB_2312" w:cs="Times New Roman"/>
          <w:b/>
          <w:bCs/>
          <w:szCs w:val="28"/>
        </w:rPr>
        <w:t>Q0</w:t>
      </w:r>
      <w:r>
        <w:rPr>
          <w:rFonts w:ascii="Times New Roman" w:hAnsi="Times New Roman" w:eastAsia="仿宋GB_2312" w:cs="Times New Roman"/>
          <w:szCs w:val="28"/>
        </w:rPr>
        <w:t>表示</w:t>
      </w:r>
      <w:r>
        <w:rPr>
          <w:rFonts w:ascii="Times New Roman" w:hAnsi="Times New Roman" w:cs="Times New Roman"/>
          <w:b/>
          <w:szCs w:val="28"/>
        </w:rPr>
        <w:t>。</w:t>
      </w:r>
    </w:p>
    <w:p>
      <w:pPr>
        <w:ind w:firstLine="560"/>
        <w:rPr>
          <w:rFonts w:ascii="Times New Roman" w:hAnsi="Times New Roman" w:cs="Times New Roman"/>
        </w:rPr>
      </w:pPr>
      <w:r>
        <w:rPr>
          <w:rFonts w:ascii="Times New Roman" w:hAnsi="Times New Roman" w:cs="Times New Roman"/>
        </w:rPr>
        <w:t>因此，本厂区突发水环境事件风险等级表示为“一般-水（Q0）”。</w:t>
      </w:r>
    </w:p>
    <w:p>
      <w:pPr>
        <w:pStyle w:val="3"/>
        <w:sectPr>
          <w:pgSz w:w="11906" w:h="16838"/>
          <w:pgMar w:top="1417" w:right="1417" w:bottom="1417" w:left="1417" w:header="851" w:footer="992" w:gutter="0"/>
          <w:cols w:space="0" w:num="1"/>
          <w:docGrid w:type="lines" w:linePitch="389" w:charSpace="0"/>
        </w:sectPr>
      </w:pPr>
    </w:p>
    <w:p>
      <w:pPr>
        <w:pStyle w:val="3"/>
      </w:pPr>
      <w:bookmarkStart w:id="281" w:name="_Toc9251"/>
      <w:r>
        <w:t>9突发环境事件风险等级确定</w:t>
      </w:r>
      <w:bookmarkEnd w:id="281"/>
    </w:p>
    <w:p>
      <w:pPr>
        <w:pStyle w:val="2"/>
      </w:pPr>
      <w:bookmarkStart w:id="282" w:name="_Toc20378"/>
      <w:r>
        <w:t>9.1风险等级确定</w:t>
      </w:r>
      <w:bookmarkEnd w:id="282"/>
    </w:p>
    <w:p>
      <w:pPr>
        <w:ind w:firstLine="560"/>
        <w:rPr>
          <w:rFonts w:ascii="Times New Roman" w:hAnsi="Times New Roman" w:cs="Times New Roman"/>
        </w:rPr>
      </w:pPr>
      <w:r>
        <w:rPr>
          <w:rFonts w:ascii="Times New Roman" w:hAnsi="Times New Roman" w:cs="Times New Roman"/>
        </w:rPr>
        <w:t>本厂区突发大气环境事件风险等级为“一般-大气（Q0）”，突发水环境事件风险等级为“一般-水（Q0）”，因此，本厂区突发环境事件风险等级为：一般[一般-大气（Q0）+一般-水（Q0）]”。</w:t>
      </w:r>
      <w:bookmarkEnd w:id="274"/>
      <w:r>
        <w:rPr>
          <w:rFonts w:ascii="Times New Roman" w:hAnsi="Times New Roman" w:cs="Times New Roman"/>
        </w:rPr>
        <w:br w:type="page"/>
      </w:r>
    </w:p>
    <w:p>
      <w:pPr>
        <w:pStyle w:val="3"/>
      </w:pPr>
      <w:bookmarkStart w:id="283" w:name="_Toc14336"/>
      <w:bookmarkStart w:id="284" w:name="_Toc5412"/>
      <w:bookmarkStart w:id="285" w:name="_Toc24592"/>
      <w:bookmarkStart w:id="286" w:name="_Toc24602"/>
      <w:bookmarkStart w:id="287" w:name="_Toc25087"/>
      <w:r>
        <w:t>附件一：内部应急联络电话</w:t>
      </w:r>
      <w:bookmarkEnd w:id="283"/>
      <w:bookmarkEnd w:id="284"/>
      <w:bookmarkEnd w:id="285"/>
      <w:bookmarkEnd w:id="286"/>
      <w:bookmarkEnd w:id="287"/>
    </w:p>
    <w:tbl>
      <w:tblPr>
        <w:tblStyle w:val="22"/>
        <w:tblW w:w="9299"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29"/>
        <w:gridCol w:w="2196"/>
        <w:gridCol w:w="1785"/>
        <w:gridCol w:w="1905"/>
        <w:gridCol w:w="238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bookmarkStart w:id="288" w:name="_Toc23259"/>
            <w:bookmarkStart w:id="289" w:name="_Toc30316"/>
            <w:bookmarkStart w:id="290" w:name="_Toc20026"/>
            <w:bookmarkStart w:id="291" w:name="_Toc18511"/>
            <w:r>
              <w:rPr>
                <w:rFonts w:ascii="Times New Roman" w:hAnsi="Times New Roman" w:eastAsia="仿宋" w:cs="Times New Roman"/>
                <w:b/>
                <w:bCs/>
                <w:sz w:val="21"/>
                <w:szCs w:val="21"/>
              </w:rPr>
              <w:t>序号</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应急救援组职务</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职务</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姓名</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联系方式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应急救援指挥部</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总指挥</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赵志刚</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13629298364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副总指挥</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魏建春</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15229326810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应急救援指挥办公室</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毛振强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13992821177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赵小鱼</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18191015075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抢险救援组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范佳</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13468533404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张凯</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15686151205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15592137259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张强</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13488499339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通讯联络组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李秉健</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18329726901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屈晨晨</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18892035859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治安组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李锦涛</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15319914007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吴龙刚</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18149325242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物资供应组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景文艳</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18821671626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侯茹</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17629109113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2196"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应急消防组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吴瑞瑞</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18829846986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restart"/>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组员</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罗毛</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13227856003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2196"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785" w:type="dxa"/>
            <w:vMerge w:val="continue"/>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高雨果</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18240873458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cs="Times New Roman"/>
                <w:sz w:val="21"/>
                <w:szCs w:val="21"/>
              </w:rPr>
              <w:t>9</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医疗救护组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color w:val="0000FF"/>
                <w:sz w:val="21"/>
                <w:szCs w:val="21"/>
              </w:rPr>
            </w:pPr>
            <w:r>
              <w:rPr>
                <w:rFonts w:ascii="Times New Roman" w:hAnsi="Times New Roman" w:eastAsia="仿宋" w:cs="Times New Roman"/>
                <w:sz w:val="21"/>
                <w:szCs w:val="21"/>
              </w:rPr>
              <w:t>颜建宇</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13759783826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624" w:hRule="atLeast"/>
          <w:jc w:val="center"/>
        </w:trPr>
        <w:tc>
          <w:tcPr>
            <w:tcW w:w="1029" w:type="dxa"/>
            <w:tcBorders>
              <w:tl2br w:val="nil"/>
              <w:tr2bl w:val="nil"/>
            </w:tcBorders>
            <w:vAlign w:val="center"/>
          </w:tcPr>
          <w:p>
            <w:pPr>
              <w:spacing w:line="240" w:lineRule="auto"/>
              <w:ind w:firstLine="0" w:firstLineChars="0"/>
              <w:jc w:val="center"/>
              <w:rPr>
                <w:rFonts w:ascii="Times New Roman" w:hAnsi="Times New Roman" w:cs="Times New Roman"/>
                <w:sz w:val="21"/>
                <w:szCs w:val="21"/>
              </w:rPr>
            </w:pPr>
            <w:r>
              <w:rPr>
                <w:rFonts w:ascii="Times New Roman" w:hAnsi="Times New Roman" w:cs="Times New Roman"/>
                <w:sz w:val="21"/>
                <w:szCs w:val="21"/>
              </w:rPr>
              <w:t>10</w:t>
            </w:r>
          </w:p>
        </w:tc>
        <w:tc>
          <w:tcPr>
            <w:tcW w:w="2196"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应急监测组</w:t>
            </w:r>
          </w:p>
        </w:tc>
        <w:tc>
          <w:tcPr>
            <w:tcW w:w="178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组长</w:t>
            </w:r>
          </w:p>
        </w:tc>
        <w:tc>
          <w:tcPr>
            <w:tcW w:w="1905"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杨翠</w:t>
            </w:r>
          </w:p>
        </w:tc>
        <w:tc>
          <w:tcPr>
            <w:tcW w:w="238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13379520312</w:t>
            </w:r>
          </w:p>
        </w:tc>
      </w:tr>
    </w:tbl>
    <w:p>
      <w:pPr>
        <w:pStyle w:val="3"/>
      </w:pPr>
      <w:bookmarkStart w:id="292" w:name="_Toc32615"/>
      <w:r>
        <w:t>附件二：外部救援联系方式</w:t>
      </w:r>
      <w:bookmarkEnd w:id="288"/>
      <w:bookmarkEnd w:id="289"/>
      <w:bookmarkEnd w:id="290"/>
      <w:bookmarkEnd w:id="291"/>
      <w:bookmarkEnd w:id="292"/>
    </w:p>
    <w:tbl>
      <w:tblPr>
        <w:tblStyle w:val="22"/>
        <w:tblW w:w="92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644"/>
        <w:gridCol w:w="464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单位名称</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b/>
                <w:bCs/>
                <w:sz w:val="21"/>
                <w:szCs w:val="21"/>
              </w:rPr>
            </w:pPr>
            <w:r>
              <w:rPr>
                <w:rFonts w:ascii="Times New Roman" w:hAnsi="Times New Roman" w:eastAsia="仿宋" w:cs="Times New Roman"/>
                <w:b/>
                <w:bCs/>
                <w:sz w:val="21"/>
                <w:szCs w:val="21"/>
              </w:rPr>
              <w:t>联系电话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紧急救护中心</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消防中心</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报警电话</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交通事故报警指挥</w:t>
            </w:r>
          </w:p>
        </w:tc>
        <w:tc>
          <w:tcPr>
            <w:tcW w:w="4644" w:type="dxa"/>
            <w:tcBorders>
              <w:tl2br w:val="nil"/>
              <w:tr2bl w:val="nil"/>
            </w:tcBorders>
            <w:vAlign w:val="center"/>
          </w:tcPr>
          <w:p>
            <w:pPr>
              <w:spacing w:line="240" w:lineRule="atLeast"/>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西咸新区秦汉新城政府办公室</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029-33434112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陕西省环保厅</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029-87291495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西咸新区秦汉新城环境保护局</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 xml:space="preserve"> 029-33185000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咸阳市中心医院</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029-33288692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科弘厨具有限公司</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153 0923 2884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红星印刷厂</w:t>
            </w:r>
          </w:p>
        </w:tc>
        <w:tc>
          <w:tcPr>
            <w:tcW w:w="4644" w:type="dxa"/>
            <w:tcBorders>
              <w:tl2br w:val="nil"/>
              <w:tr2bl w:val="nil"/>
            </w:tcBorders>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182 2061 6295</w:t>
            </w:r>
          </w:p>
        </w:tc>
      </w:tr>
    </w:tbl>
    <w:p>
      <w:pPr>
        <w:pStyle w:val="3"/>
        <w:rPr>
          <w:color w:val="0000FF"/>
        </w:rPr>
      </w:pPr>
      <w:bookmarkStart w:id="293" w:name="_Toc22357"/>
      <w:bookmarkStart w:id="294" w:name="_Toc30361"/>
      <w:bookmarkStart w:id="295" w:name="_Toc16159"/>
      <w:bookmarkStart w:id="296" w:name="_Toc28375"/>
      <w:bookmarkStart w:id="297" w:name="_Toc12439"/>
      <w:r>
        <w:t>附件三：应急物资和设备统计表</w:t>
      </w:r>
      <w:bookmarkEnd w:id="293"/>
      <w:bookmarkEnd w:id="294"/>
      <w:bookmarkEnd w:id="295"/>
      <w:bookmarkEnd w:id="296"/>
      <w:bookmarkEnd w:id="297"/>
    </w:p>
    <w:tbl>
      <w:tblPr>
        <w:tblStyle w:val="21"/>
        <w:tblW w:w="9174" w:type="dxa"/>
        <w:jc w:val="center"/>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08"/>
        <w:gridCol w:w="1017"/>
        <w:gridCol w:w="1417"/>
        <w:gridCol w:w="1890"/>
        <w:gridCol w:w="1395"/>
        <w:gridCol w:w="1095"/>
        <w:gridCol w:w="15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序号</w:t>
            </w:r>
          </w:p>
        </w:tc>
        <w:tc>
          <w:tcPr>
            <w:tcW w:w="2434" w:type="dxa"/>
            <w:gridSpan w:val="2"/>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类别</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名称</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单位</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数量</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存放地点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017"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内部应急救援力量</w:t>
            </w:r>
          </w:p>
        </w:tc>
        <w:tc>
          <w:tcPr>
            <w:tcW w:w="141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电器设备</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应急灯</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60</w:t>
            </w:r>
          </w:p>
        </w:tc>
        <w:tc>
          <w:tcPr>
            <w:tcW w:w="1552"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各车间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消防设备</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消防箱</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25</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消防栓</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4</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消防带</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 m</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干粉灭火器</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55</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6</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物资储备</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应急池</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 xml:space="preserve">座 </w:t>
            </w:r>
            <w:r>
              <w:rPr>
                <w:rFonts w:hint="eastAsia" w:ascii="Times New Roman" w:hAnsi="Times New Roman" w:eastAsia="仿宋" w:cs="Times New Roman"/>
                <w:sz w:val="21"/>
                <w:szCs w:val="21"/>
              </w:rPr>
              <w:t>653</w:t>
            </w:r>
            <w:r>
              <w:rPr>
                <w:rFonts w:ascii="Times New Roman" w:hAnsi="Times New Roman" w:eastAsia="仿宋" w:cs="Times New Roman"/>
                <w:sz w:val="21"/>
                <w:szCs w:val="21"/>
              </w:rPr>
              <w:t xml:space="preserve"> m</w:t>
            </w:r>
            <w:r>
              <w:rPr>
                <w:rFonts w:ascii="Times New Roman" w:hAnsi="Times New Roman" w:eastAsia="仿宋" w:cs="Times New Roman"/>
                <w:sz w:val="21"/>
                <w:szCs w:val="21"/>
                <w:vertAlign w:val="superscript"/>
              </w:rPr>
              <w:t>3</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hint="eastAsia" w:ascii="Times New Roman" w:hAnsi="Times New Roman" w:eastAsia="仿宋" w:cs="Times New Roman"/>
                <w:sz w:val="21"/>
                <w:szCs w:val="21"/>
              </w:rPr>
              <w:t>1</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厂区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7</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铁铲</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机械装备</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电焊机</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工程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9</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个人防护</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防酸服</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套</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Merge w:val="restart"/>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各车间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10</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防护面罩</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11</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防酸口罩</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5</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12</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化学护目镜</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副</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13</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安全帽</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8</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14</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安全带</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m</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20</w:t>
            </w:r>
          </w:p>
        </w:tc>
        <w:tc>
          <w:tcPr>
            <w:tcW w:w="1552"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15</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医疗救援</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急救箱</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个</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仓库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808"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16</w:t>
            </w:r>
          </w:p>
        </w:tc>
        <w:tc>
          <w:tcPr>
            <w:tcW w:w="1017" w:type="dxa"/>
            <w:vMerge w:val="continue"/>
            <w:vAlign w:val="center"/>
          </w:tcPr>
          <w:p>
            <w:pPr>
              <w:spacing w:line="240" w:lineRule="auto"/>
              <w:ind w:firstLine="0" w:firstLineChars="0"/>
              <w:jc w:val="center"/>
              <w:rPr>
                <w:rFonts w:ascii="Times New Roman" w:hAnsi="Times New Roman" w:eastAsia="仿宋" w:cs="Times New Roman"/>
                <w:sz w:val="21"/>
                <w:szCs w:val="21"/>
              </w:rPr>
            </w:pPr>
          </w:p>
        </w:tc>
        <w:tc>
          <w:tcPr>
            <w:tcW w:w="1417"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报警系统</w:t>
            </w:r>
          </w:p>
        </w:tc>
        <w:tc>
          <w:tcPr>
            <w:tcW w:w="1890"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对讲机</w:t>
            </w:r>
          </w:p>
        </w:tc>
        <w:tc>
          <w:tcPr>
            <w:tcW w:w="13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套</w:t>
            </w:r>
          </w:p>
        </w:tc>
        <w:tc>
          <w:tcPr>
            <w:tcW w:w="1095"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3</w:t>
            </w:r>
          </w:p>
        </w:tc>
        <w:tc>
          <w:tcPr>
            <w:tcW w:w="1552" w:type="dxa"/>
            <w:vAlign w:val="center"/>
          </w:tcPr>
          <w:p>
            <w:pPr>
              <w:spacing w:line="240" w:lineRule="auto"/>
              <w:ind w:firstLine="0" w:firstLineChars="0"/>
              <w:jc w:val="center"/>
              <w:rPr>
                <w:rFonts w:ascii="Times New Roman" w:hAnsi="Times New Roman" w:eastAsia="仿宋" w:cs="Times New Roman"/>
                <w:sz w:val="21"/>
                <w:szCs w:val="21"/>
              </w:rPr>
            </w:pPr>
            <w:r>
              <w:rPr>
                <w:rFonts w:ascii="Times New Roman" w:hAnsi="Times New Roman" w:eastAsia="仿宋" w:cs="Times New Roman"/>
                <w:sz w:val="21"/>
                <w:szCs w:val="21"/>
              </w:rPr>
              <w:t>消防队</w:t>
            </w:r>
          </w:p>
        </w:tc>
      </w:tr>
    </w:tbl>
    <w:p>
      <w:pPr>
        <w:pStyle w:val="3"/>
      </w:pPr>
      <w:bookmarkStart w:id="298" w:name="_Toc11073"/>
      <w:bookmarkStart w:id="299" w:name="_Toc20866"/>
      <w:r>
        <w:t>附件四：危废处置合同</w:t>
      </w:r>
      <w:bookmarkEnd w:id="298"/>
    </w:p>
    <w:p>
      <w:pPr>
        <w:ind w:firstLine="560"/>
        <w:rPr>
          <w:rFonts w:ascii="Times New Roman" w:hAnsi="Times New Roman" w:cs="Times New Roman"/>
        </w:rPr>
        <w:sectPr>
          <w:pgSz w:w="11906" w:h="16838"/>
          <w:pgMar w:top="1417" w:right="1417" w:bottom="1417" w:left="1417" w:header="851" w:footer="992" w:gutter="0"/>
          <w:cols w:space="0" w:num="1"/>
          <w:docGrid w:type="lines" w:linePitch="389" w:charSpace="0"/>
        </w:sectPr>
      </w:pPr>
      <w:r>
        <w:rPr>
          <w:rFonts w:ascii="Times New Roman" w:hAnsi="Times New Roman" w:cs="Times New Roman"/>
        </w:rPr>
        <w:drawing>
          <wp:inline distT="0" distB="0" distL="114300" distR="114300">
            <wp:extent cx="5796915" cy="7921625"/>
            <wp:effectExtent l="0" t="0" r="13335" b="3175"/>
            <wp:docPr id="5" name="图片 4" descr="危废合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危废合同"/>
                    <pic:cNvPicPr>
                      <a:picLocks noChangeAspect="1"/>
                    </pic:cNvPicPr>
                  </pic:nvPicPr>
                  <pic:blipFill>
                    <a:blip r:embed="rId17"/>
                    <a:stretch>
                      <a:fillRect/>
                    </a:stretch>
                  </pic:blipFill>
                  <pic:spPr>
                    <a:xfrm>
                      <a:off x="0" y="0"/>
                      <a:ext cx="5796915" cy="7921625"/>
                    </a:xfrm>
                    <a:prstGeom prst="rect">
                      <a:avLst/>
                    </a:prstGeom>
                    <a:noFill/>
                    <a:ln w="9525">
                      <a:noFill/>
                    </a:ln>
                  </pic:spPr>
                </pic:pic>
              </a:graphicData>
            </a:graphic>
          </wp:inline>
        </w:drawing>
      </w:r>
      <w:r>
        <w:rPr>
          <w:rFonts w:ascii="Times New Roman" w:hAnsi="Times New Roman" w:cs="Times New Roman"/>
        </w:rPr>
        <w:drawing>
          <wp:inline distT="0" distB="0" distL="114300" distR="114300">
            <wp:extent cx="5855970" cy="8509635"/>
            <wp:effectExtent l="0" t="0" r="11430" b="571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8"/>
                    <a:stretch>
                      <a:fillRect/>
                    </a:stretch>
                  </pic:blipFill>
                  <pic:spPr>
                    <a:xfrm>
                      <a:off x="0" y="0"/>
                      <a:ext cx="5855970" cy="8509635"/>
                    </a:xfrm>
                    <a:prstGeom prst="rect">
                      <a:avLst/>
                    </a:prstGeom>
                    <a:noFill/>
                    <a:ln w="9525">
                      <a:noFill/>
                    </a:ln>
                  </pic:spPr>
                </pic:pic>
              </a:graphicData>
            </a:graphic>
          </wp:inline>
        </w:drawing>
      </w:r>
      <w:r>
        <w:rPr>
          <w:rFonts w:ascii="Times New Roman" w:hAnsi="Times New Roman" w:cs="Times New Roman"/>
        </w:rPr>
        <w:drawing>
          <wp:inline distT="0" distB="0" distL="114300" distR="114300">
            <wp:extent cx="5729605" cy="8372475"/>
            <wp:effectExtent l="0" t="0" r="4445" b="952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9"/>
                    <a:stretch>
                      <a:fillRect/>
                    </a:stretch>
                  </pic:blipFill>
                  <pic:spPr>
                    <a:xfrm>
                      <a:off x="0" y="0"/>
                      <a:ext cx="5729605" cy="8372475"/>
                    </a:xfrm>
                    <a:prstGeom prst="rect">
                      <a:avLst/>
                    </a:prstGeom>
                    <a:noFill/>
                    <a:ln w="9525">
                      <a:noFill/>
                    </a:ln>
                  </pic:spPr>
                </pic:pic>
              </a:graphicData>
            </a:graphic>
          </wp:inline>
        </w:drawing>
      </w:r>
      <w:r>
        <w:rPr>
          <w:rFonts w:ascii="Times New Roman" w:hAnsi="Times New Roman" w:cs="Times New Roman"/>
        </w:rPr>
        <w:drawing>
          <wp:inline distT="0" distB="0" distL="114300" distR="114300">
            <wp:extent cx="5984875" cy="8238490"/>
            <wp:effectExtent l="0" t="0" r="15875" b="1016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20"/>
                    <a:stretch>
                      <a:fillRect/>
                    </a:stretch>
                  </pic:blipFill>
                  <pic:spPr>
                    <a:xfrm>
                      <a:off x="0" y="0"/>
                      <a:ext cx="5984875" cy="8238490"/>
                    </a:xfrm>
                    <a:prstGeom prst="rect">
                      <a:avLst/>
                    </a:prstGeom>
                    <a:noFill/>
                    <a:ln w="9525">
                      <a:noFill/>
                    </a:ln>
                  </pic:spPr>
                </pic:pic>
              </a:graphicData>
            </a:graphic>
          </wp:inline>
        </w:drawing>
      </w:r>
    </w:p>
    <w:p>
      <w:pPr>
        <w:pStyle w:val="3"/>
      </w:pPr>
      <w:bookmarkStart w:id="300" w:name="_Toc20809"/>
      <w:r>
        <w:t>附件五：四邻关系图</w:t>
      </w:r>
      <w:bookmarkEnd w:id="300"/>
    </w:p>
    <w:p>
      <w:pPr>
        <w:ind w:firstLine="560"/>
        <w:jc w:val="center"/>
        <w:rPr>
          <w:rFonts w:ascii="Times New Roman" w:hAnsi="Times New Roman" w:cs="Times New Roman"/>
        </w:rPr>
      </w:pPr>
      <w:r>
        <w:rPr>
          <w:rFonts w:ascii="Times New Roman" w:hAnsi="Times New Roman" w:cs="Times New Roman"/>
        </w:rPr>
        <w:drawing>
          <wp:inline distT="0" distB="0" distL="0" distR="0">
            <wp:extent cx="8010525" cy="4969510"/>
            <wp:effectExtent l="0" t="0" r="9525" b="2540"/>
            <wp:docPr id="4" name="图片 4" descr="C:\Users\surface\AppData\Local\Temp\WeChat Files\2257949104434599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surface\AppData\Local\Temp\WeChat Files\225794910443459909.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8041964" cy="4989089"/>
                    </a:xfrm>
                    <a:prstGeom prst="rect">
                      <a:avLst/>
                    </a:prstGeom>
                    <a:noFill/>
                    <a:ln>
                      <a:noFill/>
                    </a:ln>
                  </pic:spPr>
                </pic:pic>
              </a:graphicData>
            </a:graphic>
          </wp:inline>
        </w:drawing>
      </w:r>
    </w:p>
    <w:p>
      <w:pPr>
        <w:ind w:firstLine="0" w:firstLineChars="0"/>
        <w:jc w:val="center"/>
        <w:rPr>
          <w:rFonts w:ascii="Times New Roman" w:hAnsi="Times New Roman" w:eastAsia="仿宋" w:cs="Times New Roman"/>
        </w:rPr>
        <w:sectPr>
          <w:pgSz w:w="16838" w:h="11906" w:orient="landscape"/>
          <w:pgMar w:top="1417" w:right="1417" w:bottom="1417" w:left="1417" w:header="851" w:footer="992" w:gutter="0"/>
          <w:cols w:space="0" w:num="1"/>
          <w:docGrid w:type="lines" w:linePitch="394" w:charSpace="0"/>
        </w:sectPr>
      </w:pPr>
    </w:p>
    <w:p>
      <w:pPr>
        <w:pStyle w:val="3"/>
      </w:pPr>
      <w:bookmarkStart w:id="301" w:name="_Toc6923"/>
      <w:r>
        <w:t>附件六：厂区平面图</w:t>
      </w:r>
      <w:bookmarkEnd w:id="301"/>
    </w:p>
    <w:p>
      <w:pPr>
        <w:ind w:firstLine="0" w:firstLineChars="0"/>
        <w:rPr>
          <w:rFonts w:ascii="Times New Roman" w:hAnsi="Times New Roman" w:eastAsia="宋体" w:cs="Times New Roman"/>
          <w:szCs w:val="28"/>
        </w:rPr>
        <w:sectPr>
          <w:pgSz w:w="16838" w:h="11906" w:orient="landscape"/>
          <w:pgMar w:top="1417" w:right="1417" w:bottom="1417" w:left="1417" w:header="851" w:footer="992" w:gutter="0"/>
          <w:cols w:space="0" w:num="1"/>
          <w:docGrid w:type="lines" w:linePitch="389" w:charSpace="0"/>
        </w:sectPr>
      </w:pPr>
      <w:r>
        <mc:AlternateContent>
          <mc:Choice Requires="wps">
            <w:drawing>
              <wp:anchor distT="0" distB="0" distL="114300" distR="114300" simplePos="0" relativeHeight="253831168" behindDoc="0" locked="0" layoutInCell="1" allowOverlap="1">
                <wp:simplePos x="0" y="0"/>
                <wp:positionH relativeFrom="column">
                  <wp:posOffset>2320290</wp:posOffset>
                </wp:positionH>
                <wp:positionV relativeFrom="paragraph">
                  <wp:posOffset>1483995</wp:posOffset>
                </wp:positionV>
                <wp:extent cx="607695" cy="386715"/>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607695" cy="3867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firstLine="0" w:firstLineChars="0"/>
                              <w:rPr>
                                <w:b/>
                                <w:bCs/>
                                <w:color w:val="FF0000"/>
                                <w:sz w:val="21"/>
                                <w:szCs w:val="21"/>
                              </w:rPr>
                            </w:pPr>
                            <w:r>
                              <w:rPr>
                                <w:rFonts w:hint="eastAsia"/>
                                <w:b/>
                                <w:bCs/>
                                <w:color w:val="FF0000"/>
                                <w:sz w:val="21"/>
                                <w:szCs w:val="21"/>
                              </w:rPr>
                              <w:t>危废间</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82.7pt;margin-top:116.85pt;height:30.45pt;width:47.85pt;z-index:253831168;mso-width-relative:page;mso-height-relative:page;" filled="f" stroked="f" coordsize="21600,21600" o:gfxdata="UEsDBAoAAAAAAIdO4kAAAAAAAAAAAAAAAAAEAAAAZHJzL1BLAwQUAAAACACHTuJAdhhf5dwAAAAL&#10;AQAADwAAAGRycy9kb3ducmV2LnhtbE2Py07DMBBF90j8gzVI7KjzamhDnApFqpAQXbR0090kdpMI&#10;P0LsPuDrGVawnJmjO+eWq6vR7KwmPzgrIJ5FwJRtnRxsJ2D/vn5YAPMBrUTtrBLwpTysqtubEgvp&#10;LnarzrvQMQqxvkABfQhjwblve2XQz9yoLN2ObjIYaJw6Lie8ULjRPIminBscLH3ocVR1r9qP3ckI&#10;eK3XG9w2iVl86/rl7fg8fu4PcyHu7+LoCVhQ1/AHw68+qUNFTo07WemZFpDm84xQAUmaPgIjIsvj&#10;GFhDm2WWA69K/r9D9QNQSwMEFAAAAAgAh07iQMcpzBsfAgAAGQQAAA4AAABkcnMvZTJvRG9jLnht&#10;bK1TzY7TMBC+I/EOlu80abft7lZNV2VXRUgVu1JBnF3HaSI5trHdJuUB4A04ceHOc/U5+Oy03Qo4&#10;IS72eGY8P998M71ra0l2wrpKq4z2eyklQnGdV2qT0Q/vF69uKHGeqZxJrURG98LRu9nLF9PGTMRA&#10;l1rmwhIEUW7SmIyW3ptJkjheipq5njZCwVhoWzOPp90kuWUNotcyGaTpOGm0zY3VXDgH7UNnpLMY&#10;vygE949F4YQnMqOozcfTxnMdzmQ2ZZONZaas+LEM9g9V1KxSSHoO9cA8I1tb/RGqrrjVThe+x3Wd&#10;6KKouIg9oJt++ls3q5IZEXsBOM6cYXL/Lyx/t3uypMoxuxElitWY0eHb18P3n4cfXwh0AKgxbgK/&#10;lYGnb1/rFs4nvYMy9N0Wtg43OiKwA+r9GV7ResKhHKfX41tk4TBd3Yyvu+jJ82djnX8jdE2CkFGL&#10;6UVQ2W7pPAqB68kl5FJ6UUkZJygVaZDgapTGD2cLfkiFj6GFrtQg+XbdHvta63yPtqzumOEMX1RI&#10;vmTOPzELKqAT0Ns/4iikRhJ9lCgptf38N33wx4RgpaQBtTLqPm2ZFZTItwqzu+0Ph4GL8TEcXQ/w&#10;sJeW9aVFbet7Dfb2sUiGRzH4e3kSC6vrj9iCecgKE1McuTPqT+K97wiPLeJiPo9OYJ9hfqlWhofQ&#10;HZzzrddFFZEOMHXYHNED/+IAjrsSCH75jl7PGz37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HYY&#10;X+XcAAAACwEAAA8AAAAAAAAAAQAgAAAAIgAAAGRycy9kb3ducmV2LnhtbFBLAQIUABQAAAAIAIdO&#10;4kDHKcwbHwIAABkEAAAOAAAAAAAAAAEAIAAAACsBAABkcnMvZTJvRG9jLnhtbFBLBQYAAAAABgAG&#10;AFkBAAC8BQAAAAA=&#10;">
                <v:fill on="f" focussize="0,0"/>
                <v:stroke on="f" weight="0.5pt"/>
                <v:imagedata o:title=""/>
                <o:lock v:ext="edit" aspectratio="f"/>
                <v:textbox>
                  <w:txbxContent>
                    <w:p>
                      <w:pPr>
                        <w:ind w:firstLine="0" w:firstLineChars="0"/>
                        <w:rPr>
                          <w:b/>
                          <w:bCs/>
                          <w:color w:val="FF0000"/>
                          <w:sz w:val="21"/>
                          <w:szCs w:val="21"/>
                        </w:rPr>
                      </w:pPr>
                      <w:r>
                        <w:rPr>
                          <w:rFonts w:hint="eastAsia"/>
                          <w:b/>
                          <w:bCs/>
                          <w:color w:val="FF0000"/>
                          <w:sz w:val="21"/>
                          <w:szCs w:val="21"/>
                        </w:rPr>
                        <w:t>危废间</w:t>
                      </w:r>
                    </w:p>
                  </w:txbxContent>
                </v:textbox>
              </v:shape>
            </w:pict>
          </mc:Fallback>
        </mc:AlternateContent>
      </w:r>
      <w:r>
        <mc:AlternateContent>
          <mc:Choice Requires="wps">
            <w:drawing>
              <wp:anchor distT="0" distB="0" distL="114300" distR="114300" simplePos="0" relativeHeight="253106176" behindDoc="0" locked="0" layoutInCell="1" allowOverlap="1">
                <wp:simplePos x="0" y="0"/>
                <wp:positionH relativeFrom="column">
                  <wp:posOffset>2585720</wp:posOffset>
                </wp:positionH>
                <wp:positionV relativeFrom="paragraph">
                  <wp:posOffset>1778000</wp:posOffset>
                </wp:positionV>
                <wp:extent cx="1111885" cy="1031875"/>
                <wp:effectExtent l="3175" t="3175" r="8890" b="12700"/>
                <wp:wrapNone/>
                <wp:docPr id="13" name="直接连接符 13"/>
                <wp:cNvGraphicFramePr/>
                <a:graphic xmlns:a="http://schemas.openxmlformats.org/drawingml/2006/main">
                  <a:graphicData uri="http://schemas.microsoft.com/office/word/2010/wordprocessingShape">
                    <wps:wsp>
                      <wps:cNvCnPr/>
                      <wps:spPr>
                        <a:xfrm flipH="1" flipV="1">
                          <a:off x="0" y="0"/>
                          <a:ext cx="1111885" cy="1031875"/>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 y;margin-left:203.6pt;margin-top:140pt;height:81.25pt;width:87.55pt;z-index:253106176;mso-width-relative:page;mso-height-relative:page;" filled="f" stroked="t" coordsize="21600,21600" o:gfxdata="UEsDBAoAAAAAAIdO4kAAAAAAAAAAAAAAAAAEAAAAZHJzL1BLAwQUAAAACACHTuJAT401PtkAAAAL&#10;AQAADwAAAGRycy9kb3ducmV2LnhtbE2PQU7DMBBF90jcwRokNqi16zY0CnEqFMECVrT0AE4yJBHx&#10;OIrdNr09wwqWo//05/18N7tBnHEKvScDq6UCgVT7pqfWwPHzdZGCCNFSYwdPaOCKAXbF7U1us8Zf&#10;aI/nQ2wFl1DIrIEuxjGTMtQdOhuWfkTi7MtPzkY+p1Y2k71wuRukVupROtsTf+jsiGWH9ffh5Awk&#10;b3Tdq+3D81qHj/FlLsv3qi6Nub9bqScQEef4B8OvPqtDwU6VP1ETxGBgo7aaUQM6VTyKiSTVaxAV&#10;RxudgCxy+X9D8QNQSwMEFAAAAAgAh07iQIhsdU7cAQAAfwMAAA4AAABkcnMvZTJvRG9jLnhtbK1T&#10;S44TMRDdI3EHy3vSnYkyRK10ZjFRYIEgEp99xW13W/JPLpNOLsEFkNjBiiV7bsNwDMpOJvx2iF6U&#10;yvV5rvdcvbw5WMP2MqL2ruXTSc2ZdMJ32vUtf/1q82jBGSZwHRjvZMuPEvnN6uGD5RgaeeUHbzoZ&#10;GYE4bMbQ8iGl0FQVikFawIkP0lFS+Wgh0TH2VRdhJHRrqqu6vq5GH7sQvZCIFF2fknxV8JWSIr1Q&#10;CmVipuU0Wyo2FrvLtlotoekjhEGL8xjwD1NY0I4uvUCtIQF7G/VfUFaL6NGrNBHeVl4pLWThQGym&#10;9R9sXg4QZOFC4mC4yIT/D1Y8328j0x293YwzB5be6O79l2/vPn7/+oHs3edPjDIk0xiwoepbt43n&#10;E4ZtzJwPKlqmjA5PCYUX7032co4YskOR+3iRWx4SExSc0rdYzDkTlJvWs+ni8TzfVJ0gc3uImJ5I&#10;b1l2Wm60y3pAA/tnmE6l9yU57PxGG0NxaIxjY8uvZ3N6dQG0WcpAItcG4oqu5wxMTysrUiyI6I3u&#10;cnduxtjvbk1ke6C12Wxq+s6D/VaWr14DDqe6kspl0FidaKuNti1f5Ob7buOIXRbyJF32dr47FkVL&#10;nF658D9vZF6jX8+l++d/s/o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T401PtkAAAALAQAADwAA&#10;AAAAAAABACAAAAAiAAAAZHJzL2Rvd25yZXYueG1sUEsBAhQAFAAAAAgAh07iQIhsdU7cAQAAfwMA&#10;AA4AAAAAAAAAAQAgAAAAKAEAAGRycy9lMm9Eb2MueG1sUEsFBgAAAAAGAAYAWQEAAHYFAAAAAA==&#10;">
                <v:fill on="f" focussize="0,0"/>
                <v:stroke weight="0.5pt" color="#FF0000 [3204]" miterlimit="8" joinstyle="miter"/>
                <v:imagedata o:title=""/>
                <o:lock v:ext="edit" aspectratio="f"/>
              </v:line>
            </w:pict>
          </mc:Fallback>
        </mc:AlternateContent>
      </w:r>
      <w:r>
        <mc:AlternateContent>
          <mc:Choice Requires="wps">
            <w:drawing>
              <wp:anchor distT="0" distB="0" distL="114300" distR="114300" simplePos="0" relativeHeight="252382208" behindDoc="0" locked="0" layoutInCell="1" allowOverlap="1">
                <wp:simplePos x="0" y="0"/>
                <wp:positionH relativeFrom="column">
                  <wp:posOffset>1977390</wp:posOffset>
                </wp:positionH>
                <wp:positionV relativeFrom="paragraph">
                  <wp:posOffset>1815465</wp:posOffset>
                </wp:positionV>
                <wp:extent cx="607695" cy="386715"/>
                <wp:effectExtent l="0" t="0" r="0" b="0"/>
                <wp:wrapNone/>
                <wp:docPr id="12" name="文本框 12"/>
                <wp:cNvGraphicFramePr/>
                <a:graphic xmlns:a="http://schemas.openxmlformats.org/drawingml/2006/main">
                  <a:graphicData uri="http://schemas.microsoft.com/office/word/2010/wordprocessingShape">
                    <wps:wsp>
                      <wps:cNvSpPr txBox="1"/>
                      <wps:spPr>
                        <a:xfrm>
                          <a:off x="2928620" y="3251835"/>
                          <a:ext cx="607695" cy="38671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ind w:firstLine="0" w:firstLineChars="0"/>
                              <w:rPr>
                                <w:b/>
                                <w:bCs/>
                                <w:color w:val="FF0000"/>
                                <w:sz w:val="21"/>
                                <w:szCs w:val="21"/>
                              </w:rPr>
                            </w:pPr>
                            <w:r>
                              <w:rPr>
                                <w:rFonts w:hint="eastAsia"/>
                                <w:b/>
                                <w:bCs/>
                                <w:color w:val="FF0000"/>
                                <w:sz w:val="21"/>
                                <w:szCs w:val="21"/>
                              </w:rPr>
                              <w:t>应急池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5.7pt;margin-top:142.95pt;height:30.45pt;width:47.85pt;z-index:252382208;mso-width-relative:page;mso-height-relative:page;" filled="f" stroked="f" coordsize="21600,21600" o:gfxdata="UEsDBAoAAAAAAIdO4kAAAAAAAAAAAAAAAAAEAAAAZHJzL1BLAwQUAAAACACHTuJAlz1C69wAAAAL&#10;AQAADwAAAGRycy9kb3ducmV2LnhtbE2Py07DMBBF90j8gzVI7KjjkJYQ4lQoUoWEYNHSDTsnniYR&#10;9jjE7oN+Pe4KlqN7dO+Zcnmyhh1w8oMjCWKWAENqnR6ok7D9WN3lwHxQpJVxhBJ+0MOyur4qVaHd&#10;kdZ42ISOxRLyhZLQhzAWnPu2R6v8zI1IMdu5yaoQz6njelLHWG4NT5Nkwa0aKC70asS6x/Zrs7cS&#10;XuvVu1o3qc3Ppn552z2P39vPuZS3NyJ5AhbwFP5guOhHdaiiU+P2pD0zEu6FyCIqIc3nj8AikSUP&#10;AlgTo2yRA69K/v+H6hdQSwMEFAAAAAgAh07iQLNLXdwpAgAAJQQAAA4AAABkcnMvZTJvRG9jLnht&#10;bK1TS44TMRDdI3EHy3vSn/yjdEZhRkFIETNSQKwdt51uyT9sJ93hAHADVmzYc66cg7I7yUTACrFx&#10;V7ue6/Pq1fyulQIdmHW1VgXOeilGTFFd1mpX4A/vV68mGDlPVEmEVqzAR+bw3eLli3ljZizXlRYl&#10;swiCKDdrTIEr780sSRytmCSupw1T4OTaSuLh1+6S0pIGokuR5Gk6ShptS2M1Zc7B7UPnxIsYn3NG&#10;/SPnjnkkCgy1+XjaeG7DmSzmZLazxFQ1PZdB/qEKSWoFSa+hHognaG/rP0LJmlrtNPc9qmWiOa8p&#10;iz1AN1n6WzebihgWewFynLnS5P5fWPru8GRRXcLscowUkTCj07evp+8/Tz++ILgDghrjZoDbGED6&#10;9rVuAXy5d3AZ+m65leELHSHw59N8MsqB8GOB+/kwm/SHHdWs9YgCYJSOR9MhRjQAJqNxFv3JcyBj&#10;nX/DtETBKLCFSUaCyWHtPBQF0Ask5FV6VQsRpykUaiBBf5jGB1cPvBAKHoZ2urKD5dtte+5xq8sj&#10;tGh1pxJn6KqG5Gvi/BOxIAvoB6TuH+HgQkMSfbYwqrT9/Lf7gIdpgRejBmRWYPdpTyzDSLxVMMdp&#10;NhgEXcafwXAcOLO3nu2tR+3lvQYlZ7BUhkYz4L24mNxq+RE2YhmygosoCrkL7C/mve/EDxtF2XIZ&#10;QaBEQ/xabQwNoTs6l3uveR2ZDjR13JzZAy3GAZz3Joj99j+inrd78Q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CXPULr3AAAAAsBAAAPAAAAAAAAAAEAIAAAACIAAABkcnMvZG93bnJldi54bWxQSwEC&#10;FAAUAAAACACHTuJAs0td3CkCAAAlBAAADgAAAAAAAAABACAAAAArAQAAZHJzL2Uyb0RvYy54bWxQ&#10;SwUGAAAAAAYABgBZAQAAxgUAAAAA&#10;">
                <v:fill on="f" focussize="0,0"/>
                <v:stroke on="f" weight="0.5pt"/>
                <v:imagedata o:title=""/>
                <o:lock v:ext="edit" aspectratio="f"/>
                <v:textbox>
                  <w:txbxContent>
                    <w:p>
                      <w:pPr>
                        <w:ind w:firstLine="0" w:firstLineChars="0"/>
                        <w:rPr>
                          <w:b/>
                          <w:bCs/>
                          <w:color w:val="FF0000"/>
                          <w:sz w:val="21"/>
                          <w:szCs w:val="21"/>
                        </w:rPr>
                      </w:pPr>
                      <w:r>
                        <w:rPr>
                          <w:rFonts w:hint="eastAsia"/>
                          <w:b/>
                          <w:bCs/>
                          <w:color w:val="FF0000"/>
                          <w:sz w:val="21"/>
                          <w:szCs w:val="21"/>
                        </w:rPr>
                        <w:t>应急池</w:t>
                      </w:r>
                    </w:p>
                  </w:txbxContent>
                </v:textbox>
              </v:shape>
            </w:pict>
          </mc:Fallback>
        </mc:AlternateContent>
      </w:r>
      <w:r>
        <mc:AlternateContent>
          <mc:Choice Requires="wps">
            <w:drawing>
              <wp:anchor distT="0" distB="0" distL="114300" distR="114300" simplePos="0" relativeHeight="252381184" behindDoc="0" locked="0" layoutInCell="1" allowOverlap="1">
                <wp:simplePos x="0" y="0"/>
                <wp:positionH relativeFrom="column">
                  <wp:posOffset>2329180</wp:posOffset>
                </wp:positionH>
                <wp:positionV relativeFrom="paragraph">
                  <wp:posOffset>2122170</wp:posOffset>
                </wp:positionV>
                <wp:extent cx="1091565" cy="1143000"/>
                <wp:effectExtent l="3175" t="3175" r="10160" b="15875"/>
                <wp:wrapNone/>
                <wp:docPr id="8" name="直接连接符 8"/>
                <wp:cNvGraphicFramePr/>
                <a:graphic xmlns:a="http://schemas.openxmlformats.org/drawingml/2006/main">
                  <a:graphicData uri="http://schemas.microsoft.com/office/word/2010/wordprocessingShape">
                    <wps:wsp>
                      <wps:cNvCnPr/>
                      <wps:spPr>
                        <a:xfrm flipH="1" flipV="1">
                          <a:off x="3228975" y="3515995"/>
                          <a:ext cx="1091565" cy="114300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 y;margin-left:183.4pt;margin-top:167.1pt;height:90pt;width:85.95pt;z-index:252381184;mso-width-relative:page;mso-height-relative:page;" filled="f" stroked="t" coordsize="21600,21600" o:gfxdata="UEsDBAoAAAAAAIdO4kAAAAAAAAAAAAAAAAAEAAAAZHJzL1BLAwQUAAAACACHTuJA2otf1dkAAAAL&#10;AQAADwAAAGRycy9kb3ducmV2LnhtbE2PwU7DMBBE70j8g7VIXBC1k9C0CnEqFMEBTrTwAU68JBHx&#10;OordNv17lhPcZndGs2/L3eJGccI5DJ40JCsFAqn1dqBOw+fHy/0WRIiGrBk9oYYLBthV11elKaw/&#10;0x5Ph9gJLqFQGA19jFMhZWh7dCas/ITE3pefnYk8zp20szlzuRtlqlQunRmIL/RmwrrH9vtwdBrW&#10;r3TZq83dU5aG9+l5qeu3pq21vr1J1COIiEv8C8MvPqNDxUyNP5INYtSQ5TmjRxbZQwqCE+tsuwHR&#10;sEh4I6tS/v+h+gFQSwMEFAAAAAgAh07iQHLuAPPpAQAAiQMAAA4AAABkcnMvZTJvRG9jLnhtbK1T&#10;O47bMBDtA+QOBPtYkh05tmB6izWcFEFiIJ+epkiJAH8gGcu+RC4QIF1Spdw+t8nuMXZI2ZtfF6Qh&#10;hpw3T/PejFZXR63QgfsgrSG4mpQYccNsK01H8Lu32ycLjEKkpqXKGk7wiQd8tX78aDW4hk9tb1XL&#10;PQISE5rBEdzH6JqiCKznmoaJddxAUlivaYSr74rW0wHYtSqmZTkvButb5y3jIcDrZkzideYXgrP4&#10;WojAI1IEQ28xnz6f+3QW6xVtOk9dL9m5DfoPXWgqDXz0gWpDI0UfvPyLSkvmbbAiTpjVhRVCMp41&#10;gJqq/EPNm546nrWAOcE92BT+Hy17ddh5JFuCYVCGahjR7aebHx+/3H3/DOftt69okUwaXGgAe212&#10;/nwLbueT4qPwGgkl3QuYP87R+xSlHOhDR4Jn0+li+azG6ARxXdXLZT0az48RMQBU5bKq5wBggKiq&#10;p7OyzKMpRvpE5XyIz7nVKAUEK2mSM7Shh5chQksAvUDSs7FbqVSerjJoIHg+q2H+jMKOCUUjhNqB&#10;6mA6jKjqYHlZ9JkxWCXbVJ14gu/218qjA4UF2m6hr0tjv8HSpzc09CMup0aFWkbYbyU1GJyKL9XK&#10;QMvJ1NHGFO1te8ru5neYdxZ13s20UL/ec/XPP2h9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NqL&#10;X9XZAAAACwEAAA8AAAAAAAAAAQAgAAAAIgAAAGRycy9kb3ducmV2LnhtbFBLAQIUABQAAAAIAIdO&#10;4kBy7gDz6QEAAIkDAAAOAAAAAAAAAAEAIAAAACgBAABkcnMvZTJvRG9jLnhtbFBLBQYAAAAABgAG&#10;AFkBAACDBQAAAAA=&#10;">
                <v:fill on="f" focussize="0,0"/>
                <v:stroke weight="0.5pt" color="#FF0000 [3204]" miterlimit="8" joinstyle="miter"/>
                <v:imagedata o:title=""/>
                <o:lock v:ext="edit" aspectratio="f"/>
              </v:line>
            </w:pict>
          </mc:Fallback>
        </mc:AlternateContent>
      </w:r>
      <w:r>
        <mc:AlternateContent>
          <mc:Choice Requires="wps">
            <w:drawing>
              <wp:anchor distT="0" distB="0" distL="114300" distR="114300" simplePos="0" relativeHeight="252380160" behindDoc="0" locked="0" layoutInCell="1" allowOverlap="1">
                <wp:simplePos x="0" y="0"/>
                <wp:positionH relativeFrom="column">
                  <wp:posOffset>3237865</wp:posOffset>
                </wp:positionH>
                <wp:positionV relativeFrom="paragraph">
                  <wp:posOffset>3103880</wp:posOffset>
                </wp:positionV>
                <wp:extent cx="366395" cy="629920"/>
                <wp:effectExtent l="6350" t="6350" r="8255" b="11430"/>
                <wp:wrapNone/>
                <wp:docPr id="3" name="矩形 3"/>
                <wp:cNvGraphicFramePr/>
                <a:graphic xmlns:a="http://schemas.openxmlformats.org/drawingml/2006/main">
                  <a:graphicData uri="http://schemas.microsoft.com/office/word/2010/wordprocessingShape">
                    <wps:wsp>
                      <wps:cNvSpPr/>
                      <wps:spPr>
                        <a:xfrm>
                          <a:off x="4137660" y="4497705"/>
                          <a:ext cx="366395" cy="62992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4.95pt;margin-top:244.4pt;height:49.6pt;width:28.85pt;z-index:252380160;v-text-anchor:middle;mso-width-relative:page;mso-height-relative:page;" filled="f" stroked="t" coordsize="21600,21600" o:gfxdata="UEsDBAoAAAAAAIdO4kAAAAAAAAAAAAAAAAAEAAAAZHJzL1BLAwQUAAAACACHTuJAe775mNkAAAAL&#10;AQAADwAAAGRycy9kb3ducmV2LnhtbE2Py07DMBBF90j8gzVI7KjdiqZuGqdCSEgsuiFhw86NJ4/i&#10;R4jd198zrOhuRnN059xie3GWnXCKQ/AK5jMBDH0TzOA7BZ/125MEFpP2RtvgUcEVI2zL+7tC5yac&#10;/QeeqtQxCvEx1wr6lMac89j06HSchRE93dowOZ1onTpuJn2mcGf5QoiMOz14+tDrEV97bL6ro1Pw&#10;8y7bQ71IQ7WyuybVX9VLu7sq9fgwFxtgCS/pH4Y/fVKHkpz24ehNZFbBUqzXhCp4lpI6ELHMVhmw&#10;PQ1SCuBlwW87lL9QSwMEFAAAAAgAh07iQFnxd/JbAgAAiAQAAA4AAABkcnMvZTJvRG9jLnhtbK1U&#10;S27bMBDdF+gdCO4byZ/YsRE5MBykKBA0Adyia5qiLAL8laQtp5cp0F0P0eMUvUYfKSdxP6uiXtAz&#10;mtEbzps3urw6aEX2wgdpTUUHZyUlwnBbS7Ot6Pt3N68uKAmRmZopa0RFH0SgV4uXLy47NxdD21pV&#10;C08AYsK8cxVtY3Tzogi8FZqFM+uEQbCxXrMI12+L2rMO6FoVw7KcFJ31tfOWixDw9LoP0kXGbxrB&#10;413TBBGJqijuFvPp87lJZ7G4ZPOtZ66V/HgN9g+30EwaFH2CumaRkZ2Xf0Bpyb0Ntoln3OrCNo3k&#10;IveAbgblb92sW+ZE7gXkBPdEU/h/sPzt/t4TWVd0RIlhGiP68fnr929fyChx07kwR8ra3fujF2Cm&#10;Rg+N1+kfLZBDRceD0XQyAcMPsMez6bQ877kVh0g4EkaTyWh2TglHwmQ4mw0z98UzkPMhvhZWk2RU&#10;1GN0mVG2vw0RxZH6mJLqGnsjlcrjU4Z00N5wWqI+Z1BRo1iEqR36CmZLCVNbyJNHnyGDVbJOryeg&#10;4LeblfJkzyCRVZl+6eYo90taqn3NQtvn5VDfoJYRClZSV/Ti9G1lAJL46xlL1sbWD2Db216GwfEb&#10;CdhbFuI989Ad7o9dinc4GmXRlD1alLTWf/rb85QPOSBKSQcdo+GPO+YFJeqNgVBmg/E4CT874/Mp&#10;eCf+NLI5jZidXlnwMMDWOp7NlB/Vo9l4qz9g5ZapKkLMcNTuqT06q9jvF5aWi+Uyp0HsjsVbs3Y8&#10;gfcDXO6ibWSe7TM7R9Ig9zyD42qmfTr1c9bzB2Tx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Hu+&#10;+ZjZAAAACwEAAA8AAAAAAAAAAQAgAAAAIgAAAGRycy9kb3ducmV2LnhtbFBLAQIUABQAAAAIAIdO&#10;4kBZ8XfyWwIAAIgEAAAOAAAAAAAAAAEAIAAAACgBAABkcnMvZTJvRG9jLnhtbFBLBQYAAAAABgAG&#10;AFkBAAD1BQAAAAA=&#10;">
                <v:fill on="f" focussize="0,0"/>
                <v:stroke weight="1pt" color="#C00000 [3204]" miterlimit="8" joinstyle="miter"/>
                <v:imagedata o:title=""/>
                <o:lock v:ext="edit" aspectratio="f"/>
              </v:rect>
            </w:pict>
          </mc:Fallback>
        </mc:AlternateContent>
      </w:r>
      <w:r>
        <w:rPr>
          <w:rFonts w:ascii="Times New Roman" w:hAnsi="Times New Roman" w:eastAsia="宋体" w:cs="Times New Roman"/>
          <w:szCs w:val="28"/>
        </w:rPr>
        <w:drawing>
          <wp:inline distT="0" distB="0" distL="114300" distR="114300">
            <wp:extent cx="8507730" cy="5080635"/>
            <wp:effectExtent l="0" t="0" r="7620" b="5715"/>
            <wp:docPr id="6" name="图片 6" descr="厂区平面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厂区平面图"/>
                    <pic:cNvPicPr>
                      <a:picLocks noChangeAspect="1"/>
                    </pic:cNvPicPr>
                  </pic:nvPicPr>
                  <pic:blipFill>
                    <a:blip r:embed="rId22"/>
                    <a:stretch>
                      <a:fillRect/>
                    </a:stretch>
                  </pic:blipFill>
                  <pic:spPr>
                    <a:xfrm>
                      <a:off x="0" y="0"/>
                      <a:ext cx="8507730" cy="5080635"/>
                    </a:xfrm>
                    <a:prstGeom prst="rect">
                      <a:avLst/>
                    </a:prstGeom>
                    <a:noFill/>
                    <a:ln w="9525">
                      <a:noFill/>
                    </a:ln>
                  </pic:spPr>
                </pic:pic>
              </a:graphicData>
            </a:graphic>
          </wp:inline>
        </w:drawing>
      </w:r>
    </w:p>
    <w:p>
      <w:pPr>
        <w:pStyle w:val="3"/>
      </w:pPr>
      <w:bookmarkStart w:id="302" w:name="_Toc20579"/>
      <w:r>
        <w:t>附件七：地理位置图</w:t>
      </w:r>
      <w:bookmarkEnd w:id="302"/>
    </w:p>
    <w:p>
      <w:pPr>
        <w:ind w:firstLine="0" w:firstLineChars="0"/>
        <w:rPr>
          <w:rFonts w:ascii="Times New Roman" w:hAnsi="Times New Roman" w:cs="Times New Roman"/>
        </w:rPr>
      </w:pPr>
      <w:r>
        <w:rPr>
          <w:rFonts w:ascii="Times New Roman" w:hAnsi="Times New Roman" w:cs="Times New Roman"/>
        </w:rPr>
        <w:drawing>
          <wp:inline distT="0" distB="0" distL="114300" distR="114300">
            <wp:extent cx="6150610" cy="4668520"/>
            <wp:effectExtent l="0" t="0" r="2540" b="17780"/>
            <wp:docPr id="1" name="图片 1" descr="887052011112027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887052011112027772"/>
                    <pic:cNvPicPr>
                      <a:picLocks noChangeAspect="1"/>
                    </pic:cNvPicPr>
                  </pic:nvPicPr>
                  <pic:blipFill>
                    <a:blip r:embed="rId23"/>
                    <a:stretch>
                      <a:fillRect/>
                    </a:stretch>
                  </pic:blipFill>
                  <pic:spPr>
                    <a:xfrm>
                      <a:off x="0" y="0"/>
                      <a:ext cx="6150610" cy="4668520"/>
                    </a:xfrm>
                    <a:prstGeom prst="rect">
                      <a:avLst/>
                    </a:prstGeom>
                  </pic:spPr>
                </pic:pic>
              </a:graphicData>
            </a:graphic>
          </wp:inline>
        </w:drawing>
      </w:r>
    </w:p>
    <w:p>
      <w:pPr>
        <w:pStyle w:val="3"/>
        <w:sectPr>
          <w:pgSz w:w="11906" w:h="16838"/>
          <w:pgMar w:top="1417" w:right="1417" w:bottom="1417" w:left="1417" w:header="851" w:footer="992" w:gutter="0"/>
          <w:cols w:space="0" w:num="1"/>
          <w:docGrid w:type="lines" w:linePitch="389" w:charSpace="0"/>
        </w:sectPr>
      </w:pPr>
      <w:bookmarkStart w:id="303" w:name="_Toc26100"/>
      <w:r>
        <w:drawing>
          <wp:anchor distT="0" distB="0" distL="114300" distR="114300" simplePos="0" relativeHeight="252379136" behindDoc="1" locked="0" layoutInCell="1" allowOverlap="1">
            <wp:simplePos x="0" y="0"/>
            <wp:positionH relativeFrom="column">
              <wp:posOffset>65405</wp:posOffset>
            </wp:positionH>
            <wp:positionV relativeFrom="paragraph">
              <wp:posOffset>503555</wp:posOffset>
            </wp:positionV>
            <wp:extent cx="5667375" cy="7509510"/>
            <wp:effectExtent l="0" t="0" r="9525" b="15240"/>
            <wp:wrapTight wrapText="bothSides">
              <wp:wrapPolygon>
                <wp:start x="0" y="0"/>
                <wp:lineTo x="0" y="21534"/>
                <wp:lineTo x="21564" y="21534"/>
                <wp:lineTo x="21564" y="0"/>
                <wp:lineTo x="0" y="0"/>
              </wp:wrapPolygon>
            </wp:wrapTight>
            <wp:docPr id="10" name="图片 10"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无标题"/>
                    <pic:cNvPicPr>
                      <a:picLocks noChangeAspect="1"/>
                    </pic:cNvPicPr>
                  </pic:nvPicPr>
                  <pic:blipFill>
                    <a:blip r:embed="rId24"/>
                    <a:stretch>
                      <a:fillRect/>
                    </a:stretch>
                  </pic:blipFill>
                  <pic:spPr>
                    <a:xfrm>
                      <a:off x="0" y="0"/>
                      <a:ext cx="5667375" cy="7509510"/>
                    </a:xfrm>
                    <a:prstGeom prst="rect">
                      <a:avLst/>
                    </a:prstGeom>
                  </pic:spPr>
                </pic:pic>
              </a:graphicData>
            </a:graphic>
          </wp:anchor>
        </w:drawing>
      </w:r>
      <w:r>
        <w:t>附件八：应急救援体系响应程序</w:t>
      </w:r>
      <w:bookmarkEnd w:id="303"/>
    </w:p>
    <w:bookmarkEnd w:id="299"/>
    <w:p>
      <w:pPr>
        <w:ind w:firstLine="0" w:firstLineChars="0"/>
        <w:rPr>
          <w:rFonts w:ascii="Times New Roman" w:hAnsi="Times New Roman" w:cs="Times New Roman"/>
        </w:rPr>
      </w:pPr>
    </w:p>
    <w:sectPr>
      <w:pgSz w:w="11906" w:h="16838"/>
      <w:pgMar w:top="1417" w:right="1417" w:bottom="1417" w:left="1417" w:header="851" w:footer="992" w:gutter="0"/>
      <w:cols w:space="0" w:num="1"/>
      <w:docGrid w:type="lines" w:linePitch="38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Arial">
    <w:panose1 w:val="020B0604020202020204"/>
    <w:charset w:val="00"/>
    <w:family w:val="auto"/>
    <w:pitch w:val="default"/>
    <w:sig w:usb0="E0002EFF" w:usb1="C000785B" w:usb2="00000009" w:usb3="00000000" w:csb0="400001FF" w:csb1="FFFF0000"/>
  </w:font>
  <w:font w:name="楷体_GB2312">
    <w:altName w:val="楷体"/>
    <w:panose1 w:val="00000000000000000000"/>
    <w:charset w:val="86"/>
    <w:family w:val="modern"/>
    <w:pitch w:val="default"/>
    <w:sig w:usb0="00000000" w:usb1="00000000" w:usb2="00000000" w:usb3="00000000" w:csb0="00040000" w:csb1="00000000"/>
  </w:font>
  <w:font w:name="TimesNewRoman">
    <w:altName w:val="Times New Roman"/>
    <w:panose1 w:val="00000000000000000000"/>
    <w:charset w:val="00"/>
    <w:family w:val="roman"/>
    <w:pitch w:val="default"/>
    <w:sig w:usb0="00000000" w:usb1="00000000" w:usb2="00000000" w:usb3="00000000" w:csb0="00000001" w:csb1="00000000"/>
  </w:font>
  <w:font w:name="仿宋GB_2312">
    <w:altName w:val="仿宋"/>
    <w:panose1 w:val="00000000000000000000"/>
    <w:charset w:val="00"/>
    <w:family w:val="auto"/>
    <w:pitch w:val="default"/>
    <w:sig w:usb0="00000000"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tabs>
        <w:tab w:val="center" w:pos="4479"/>
        <w:tab w:val="clear" w:pos="4153"/>
      </w:tabs>
      <w:spacing w:before="120" w:after="120"/>
      <w:ind w:firstLine="360"/>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tabs>
        <w:tab w:val="center" w:pos="4479"/>
        <w:tab w:val="clear" w:pos="4153"/>
      </w:tabs>
      <w:spacing w:before="120" w:after="120"/>
      <w:ind w:firstLine="360"/>
    </w:pPr>
    <w:r>
      <w:rPr>
        <w:rFonts w:hint="eastAsia"/>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tabs>
        <w:tab w:val="center" w:pos="4479"/>
        <w:tab w:val="clear" w:pos="4153"/>
      </w:tabs>
      <w:spacing w:before="120" w:after="120"/>
      <w:ind w:firstLine="360"/>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340360" cy="236220"/>
              <wp:effectExtent l="0" t="0" r="0" b="0"/>
              <wp:wrapNone/>
              <wp:docPr id="7" name="文本框 7"/>
              <wp:cNvGraphicFramePr/>
              <a:graphic xmlns:a="http://schemas.openxmlformats.org/drawingml/2006/main">
                <a:graphicData uri="http://schemas.microsoft.com/office/word/2010/wordprocessingShape">
                  <wps:wsp>
                    <wps:cNvSpPr txBox="1"/>
                    <wps:spPr>
                      <a:xfrm>
                        <a:off x="0" y="0"/>
                        <a:ext cx="340360" cy="23622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ind w:firstLine="420"/>
                            <w:rPr>
                              <w:rFonts w:ascii="Times New Roman" w:hAnsi="Times New Roman" w:eastAsia="仿宋" w:cs="Times New Roman"/>
                              <w:sz w:val="21"/>
                              <w:szCs w:val="21"/>
                            </w:rPr>
                          </w:pPr>
                          <w:r>
                            <w:rPr>
                              <w:rFonts w:ascii="Times New Roman" w:hAnsi="Times New Roman" w:eastAsia="仿宋" w:cs="Times New Roman"/>
                              <w:sz w:val="21"/>
                              <w:szCs w:val="21"/>
                            </w:rPr>
                            <w:fldChar w:fldCharType="begin"/>
                          </w:r>
                          <w:r>
                            <w:rPr>
                              <w:rFonts w:ascii="Times New Roman" w:hAnsi="Times New Roman" w:eastAsia="仿宋" w:cs="Times New Roman"/>
                              <w:sz w:val="21"/>
                              <w:szCs w:val="21"/>
                            </w:rPr>
                            <w:instrText xml:space="preserve"> PAGE  \* MERGEFORMAT </w:instrText>
                          </w:r>
                          <w:r>
                            <w:rPr>
                              <w:rFonts w:ascii="Times New Roman" w:hAnsi="Times New Roman" w:eastAsia="仿宋" w:cs="Times New Roman"/>
                              <w:sz w:val="21"/>
                              <w:szCs w:val="21"/>
                            </w:rPr>
                            <w:fldChar w:fldCharType="separate"/>
                          </w:r>
                          <w:r>
                            <w:rPr>
                              <w:rFonts w:ascii="Times New Roman" w:hAnsi="Times New Roman" w:eastAsia="仿宋" w:cs="Times New Roman"/>
                              <w:sz w:val="21"/>
                              <w:szCs w:val="21"/>
                            </w:rPr>
                            <w:t>4</w:t>
                          </w:r>
                          <w:r>
                            <w:rPr>
                              <w:rFonts w:ascii="Times New Roman" w:hAnsi="Times New Roman" w:eastAsia="仿宋"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8.6pt;width:26.8pt;mso-position-horizontal:center;mso-position-horizontal-relative:margin;mso-wrap-style:none;z-index:251658240;mso-width-relative:page;mso-height-relative:page;" filled="f" stroked="f" coordsize="21600,21600" o:gfxdata="UEsDBAoAAAAAAIdO4kAAAAAAAAAAAAAAAAAEAAAAZHJzL1BLAwQUAAAACACHTuJAir+/v9IAAAAD&#10;AQAADwAAAGRycy9kb3ducmV2LnhtbE2PwU7DMBBE70j8g7VI3KjTBtoqZFOJinBEouHA0Y2XJGCv&#10;I9tNw99juMBlpdGMZt6Wu9kaMZEPg2OE5SIDQdw6PXCH8NrUN1sQISrWyjgmhC8KsKsuL0pVaHfm&#10;F5oOsROphEOhEPoYx0LK0PZkVVi4kTh5785bFZP0ndRenVO5NXKVZWtp1cBpoVcj7XtqPw8ni7Cv&#10;m8ZPFLx5o6c6/3h+uKXHGfH6apndg4g0x78w/OAndKgS09GdWAdhENIj8fcm7y5fgzgi5JsVyKqU&#10;/9mrb1BLAwQUAAAACACHTuJAJlP6JxICAAAFBAAADgAAAGRycy9lMm9Eb2MueG1srVPLjtMwFN0j&#10;8Q+W9zRpCx1UNR2VGRUhVcxIZTRr13GaSH7JdpuUD4A/YMVm9nxXv4Njt+kgYIXYODf3fc89d3bd&#10;KUn2wvnG6IIOBzklQnNTNnpb0IdPy1dvKfGB6ZJJo0VBD8LT6/nLF7PWTsXI1EaWwhEk0X7a2oLW&#10;IdhplnleC8X8wFihYayMUyzg122z0rEW2ZXMRnk+yVrjSusMF95De3sy0nnKX1WCh7uq8iIQWVD0&#10;FtLr0ruJbzafsenWMVs3/NwG+4cuFGs0il5S3bLAyM41f6RSDXfGmyoMuFGZqaqGizQDphnmv02z&#10;rpkVaRaA4+0FJv//0vKP+3tHmrKgV5RoprCi47evx+8/jk9fyFWEp7V+Cq+1hV/o3pkOa+71Hso4&#10;dVc5Fb+Yh8AOoA8XcEUXCIdy/DofT2DhMI3Gk9EogZ89B1vnw3thFIlCQR12lyBl+5UPaASuvUus&#10;pc2ykTLtT2rSFnQyfpOngIsFEVIjMI5wajVKodt057k2pjxgLGdOvPCWLxsUXzEf7pkDEdAvyB3u&#10;8FTSoIg5S5TUxn3+mz76Yz+wUtKCWAXVYD4l8oPG3iIHe8H1wqYX9E7dGDB1iKOxPIkIcEH2YuWM&#10;egTjF7EGTExzVCpo6MWbcCI3LoaLxSI5gWmWhZVeWx5TR/C8XewCAEy4RlBOSJyxAtcS3Oe7iGT+&#10;9T95PV/v/C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Kv7+/0gAAAAMBAAAPAAAAAAAAAAEAIAAA&#10;ACIAAABkcnMvZG93bnJldi54bWxQSwECFAAUAAAACACHTuJAJlP6JxICAAAFBAAADgAAAAAAAAAB&#10;ACAAAAAhAQAAZHJzL2Uyb0RvYy54bWxQSwUGAAAAAAYABgBZAQAApQUAAAAA&#10;">
              <v:fill on="f" focussize="0,0"/>
              <v:stroke on="f" weight="0.5pt"/>
              <v:imagedata o:title=""/>
              <o:lock v:ext="edit" aspectratio="f"/>
              <v:textbox inset="0mm,0mm,0mm,0mm" style="mso-fit-shape-to-text:t;">
                <w:txbxContent>
                  <w:p>
                    <w:pPr>
                      <w:snapToGrid w:val="0"/>
                      <w:ind w:firstLine="420"/>
                      <w:rPr>
                        <w:rFonts w:ascii="Times New Roman" w:hAnsi="Times New Roman" w:eastAsia="仿宋" w:cs="Times New Roman"/>
                        <w:sz w:val="21"/>
                        <w:szCs w:val="21"/>
                      </w:rPr>
                    </w:pPr>
                    <w:r>
                      <w:rPr>
                        <w:rFonts w:ascii="Times New Roman" w:hAnsi="Times New Roman" w:eastAsia="仿宋" w:cs="Times New Roman"/>
                        <w:sz w:val="21"/>
                        <w:szCs w:val="21"/>
                      </w:rPr>
                      <w:fldChar w:fldCharType="begin"/>
                    </w:r>
                    <w:r>
                      <w:rPr>
                        <w:rFonts w:ascii="Times New Roman" w:hAnsi="Times New Roman" w:eastAsia="仿宋" w:cs="Times New Roman"/>
                        <w:sz w:val="21"/>
                        <w:szCs w:val="21"/>
                      </w:rPr>
                      <w:instrText xml:space="preserve"> PAGE  \* MERGEFORMAT </w:instrText>
                    </w:r>
                    <w:r>
                      <w:rPr>
                        <w:rFonts w:ascii="Times New Roman" w:hAnsi="Times New Roman" w:eastAsia="仿宋" w:cs="Times New Roman"/>
                        <w:sz w:val="21"/>
                        <w:szCs w:val="21"/>
                      </w:rPr>
                      <w:fldChar w:fldCharType="separate"/>
                    </w:r>
                    <w:r>
                      <w:rPr>
                        <w:rFonts w:ascii="Times New Roman" w:hAnsi="Times New Roman" w:eastAsia="仿宋" w:cs="Times New Roman"/>
                        <w:sz w:val="21"/>
                        <w:szCs w:val="21"/>
                      </w:rPr>
                      <w:t>4</w:t>
                    </w:r>
                    <w:r>
                      <w:rPr>
                        <w:rFonts w:ascii="Times New Roman" w:hAnsi="Times New Roman" w:eastAsia="仿宋" w:cs="Times New Roman"/>
                        <w:sz w:val="21"/>
                        <w:szCs w:val="21"/>
                      </w:rPr>
                      <w:fldChar w:fldCharType="end"/>
                    </w:r>
                  </w:p>
                </w:txbxContent>
              </v:textbox>
            </v:shape>
          </w:pict>
        </mc:Fallback>
      </mc:AlternateContent>
    </w:r>
    <w:r>
      <w:rPr>
        <w:rFonts w:hint="eastAsia"/>
      </w:rPr>
      <w:tab/>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CF7BA83"/>
    <w:multiLevelType w:val="singleLevel"/>
    <w:tmpl w:val="CCF7BA83"/>
    <w:lvl w:ilvl="0" w:tentative="0">
      <w:start w:val="1"/>
      <w:numFmt w:val="decimal"/>
      <w:suff w:val="nothing"/>
      <w:lvlText w:val="（%1）"/>
      <w:lvlJc w:val="left"/>
    </w:lvl>
  </w:abstractNum>
  <w:abstractNum w:abstractNumId="1">
    <w:nsid w:val="564C281F"/>
    <w:multiLevelType w:val="singleLevel"/>
    <w:tmpl w:val="564C281F"/>
    <w:lvl w:ilvl="0" w:tentative="0">
      <w:start w:val="1"/>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1"/>
  <w:bordersDoNotSurroundFooter w:val="1"/>
  <w:documentProtection w:enforcement="0"/>
  <w:defaultTabStop w:val="420"/>
  <w:drawingGridHorizontalSpacing w:val="140"/>
  <w:drawingGridVerticalSpacing w:val="389"/>
  <w:displayHorizontalDrawingGridEvery w:val="0"/>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E7FD4"/>
    <w:rsid w:val="00172A27"/>
    <w:rsid w:val="00177ACE"/>
    <w:rsid w:val="001837F1"/>
    <w:rsid w:val="001A6791"/>
    <w:rsid w:val="00383AFA"/>
    <w:rsid w:val="00387A18"/>
    <w:rsid w:val="00411D1C"/>
    <w:rsid w:val="00415BF4"/>
    <w:rsid w:val="00475F5D"/>
    <w:rsid w:val="004B022C"/>
    <w:rsid w:val="004B4D1B"/>
    <w:rsid w:val="0059774D"/>
    <w:rsid w:val="00637E5F"/>
    <w:rsid w:val="007073BB"/>
    <w:rsid w:val="0074687B"/>
    <w:rsid w:val="007B6DD2"/>
    <w:rsid w:val="00817E87"/>
    <w:rsid w:val="00836F13"/>
    <w:rsid w:val="00927AF0"/>
    <w:rsid w:val="00962612"/>
    <w:rsid w:val="009B758C"/>
    <w:rsid w:val="00AF5FBD"/>
    <w:rsid w:val="00B862C2"/>
    <w:rsid w:val="00BA335A"/>
    <w:rsid w:val="00BF4FA8"/>
    <w:rsid w:val="00C242DE"/>
    <w:rsid w:val="00C90A36"/>
    <w:rsid w:val="00CC683E"/>
    <w:rsid w:val="00DB3F54"/>
    <w:rsid w:val="00E1633F"/>
    <w:rsid w:val="00E16351"/>
    <w:rsid w:val="00E253EF"/>
    <w:rsid w:val="00E45620"/>
    <w:rsid w:val="00E86265"/>
    <w:rsid w:val="00EA2F1D"/>
    <w:rsid w:val="00ED3338"/>
    <w:rsid w:val="00EE68F2"/>
    <w:rsid w:val="00EF7CAF"/>
    <w:rsid w:val="00FF34D0"/>
    <w:rsid w:val="01022DAA"/>
    <w:rsid w:val="011C0FA7"/>
    <w:rsid w:val="014E5719"/>
    <w:rsid w:val="0171738E"/>
    <w:rsid w:val="01880F9F"/>
    <w:rsid w:val="018E27FF"/>
    <w:rsid w:val="01C31C4D"/>
    <w:rsid w:val="01CB76F4"/>
    <w:rsid w:val="01F4775D"/>
    <w:rsid w:val="01FC59EC"/>
    <w:rsid w:val="022D797E"/>
    <w:rsid w:val="02520461"/>
    <w:rsid w:val="02565B42"/>
    <w:rsid w:val="02672E95"/>
    <w:rsid w:val="0271016D"/>
    <w:rsid w:val="028C77AC"/>
    <w:rsid w:val="029619FE"/>
    <w:rsid w:val="02BD3589"/>
    <w:rsid w:val="02C7076F"/>
    <w:rsid w:val="02D54D4A"/>
    <w:rsid w:val="02E812AA"/>
    <w:rsid w:val="02F255B1"/>
    <w:rsid w:val="03044281"/>
    <w:rsid w:val="031206C8"/>
    <w:rsid w:val="03285168"/>
    <w:rsid w:val="03467CDD"/>
    <w:rsid w:val="035C3551"/>
    <w:rsid w:val="03645377"/>
    <w:rsid w:val="03647432"/>
    <w:rsid w:val="03792F6E"/>
    <w:rsid w:val="037A19F3"/>
    <w:rsid w:val="038269B7"/>
    <w:rsid w:val="038460CB"/>
    <w:rsid w:val="03B84F11"/>
    <w:rsid w:val="03C4515A"/>
    <w:rsid w:val="03C45DD2"/>
    <w:rsid w:val="03CB56CC"/>
    <w:rsid w:val="03D91E35"/>
    <w:rsid w:val="03E47E9E"/>
    <w:rsid w:val="0402342D"/>
    <w:rsid w:val="040A7C4B"/>
    <w:rsid w:val="04231BEB"/>
    <w:rsid w:val="045A5472"/>
    <w:rsid w:val="046326AB"/>
    <w:rsid w:val="047C7F7C"/>
    <w:rsid w:val="048F6E09"/>
    <w:rsid w:val="04B60C2B"/>
    <w:rsid w:val="04DF6851"/>
    <w:rsid w:val="05064112"/>
    <w:rsid w:val="052762E7"/>
    <w:rsid w:val="053F2175"/>
    <w:rsid w:val="054A4888"/>
    <w:rsid w:val="054F6E5D"/>
    <w:rsid w:val="055B56E2"/>
    <w:rsid w:val="057F0D9C"/>
    <w:rsid w:val="05A26081"/>
    <w:rsid w:val="05CA6E49"/>
    <w:rsid w:val="05CB129E"/>
    <w:rsid w:val="05F7494C"/>
    <w:rsid w:val="05F86A5C"/>
    <w:rsid w:val="06042E73"/>
    <w:rsid w:val="06111B87"/>
    <w:rsid w:val="06226B50"/>
    <w:rsid w:val="063718B2"/>
    <w:rsid w:val="063E6C09"/>
    <w:rsid w:val="0643248D"/>
    <w:rsid w:val="06494F4B"/>
    <w:rsid w:val="0665247F"/>
    <w:rsid w:val="067026E5"/>
    <w:rsid w:val="0670714A"/>
    <w:rsid w:val="067B4B8D"/>
    <w:rsid w:val="06920C29"/>
    <w:rsid w:val="06C24987"/>
    <w:rsid w:val="06C82C2D"/>
    <w:rsid w:val="06D62773"/>
    <w:rsid w:val="06DB1A34"/>
    <w:rsid w:val="06F168C7"/>
    <w:rsid w:val="07021A40"/>
    <w:rsid w:val="0712382A"/>
    <w:rsid w:val="072C4235"/>
    <w:rsid w:val="075F2FF4"/>
    <w:rsid w:val="07772B36"/>
    <w:rsid w:val="07774038"/>
    <w:rsid w:val="07B753CA"/>
    <w:rsid w:val="07BE3993"/>
    <w:rsid w:val="07CF0E0C"/>
    <w:rsid w:val="07CF6380"/>
    <w:rsid w:val="07D60752"/>
    <w:rsid w:val="07DB510C"/>
    <w:rsid w:val="07F42AF4"/>
    <w:rsid w:val="08003A52"/>
    <w:rsid w:val="080561DE"/>
    <w:rsid w:val="081D7A6F"/>
    <w:rsid w:val="082F3989"/>
    <w:rsid w:val="082F6A0E"/>
    <w:rsid w:val="08317ECC"/>
    <w:rsid w:val="0851114C"/>
    <w:rsid w:val="089C0A81"/>
    <w:rsid w:val="08D72BB7"/>
    <w:rsid w:val="08E33FC9"/>
    <w:rsid w:val="08E63BA9"/>
    <w:rsid w:val="08FF3C7F"/>
    <w:rsid w:val="091610D1"/>
    <w:rsid w:val="09333E79"/>
    <w:rsid w:val="095E4BDC"/>
    <w:rsid w:val="097B2CF1"/>
    <w:rsid w:val="099473F7"/>
    <w:rsid w:val="0998687C"/>
    <w:rsid w:val="09A00B59"/>
    <w:rsid w:val="09A02866"/>
    <w:rsid w:val="09C17FAB"/>
    <w:rsid w:val="09D70C7D"/>
    <w:rsid w:val="09E72C3C"/>
    <w:rsid w:val="09F33CE6"/>
    <w:rsid w:val="09FF0E8E"/>
    <w:rsid w:val="0A003380"/>
    <w:rsid w:val="0A093393"/>
    <w:rsid w:val="0A7B62B7"/>
    <w:rsid w:val="0A9C3DE8"/>
    <w:rsid w:val="0AB44FB5"/>
    <w:rsid w:val="0ACE5022"/>
    <w:rsid w:val="0AED1918"/>
    <w:rsid w:val="0AFA3F02"/>
    <w:rsid w:val="0B1B06D8"/>
    <w:rsid w:val="0B6F5098"/>
    <w:rsid w:val="0B717D32"/>
    <w:rsid w:val="0B7B48F3"/>
    <w:rsid w:val="0BB821FA"/>
    <w:rsid w:val="0BC151E8"/>
    <w:rsid w:val="0BD0708F"/>
    <w:rsid w:val="0BD35164"/>
    <w:rsid w:val="0BD9517A"/>
    <w:rsid w:val="0C062FA7"/>
    <w:rsid w:val="0C0C273A"/>
    <w:rsid w:val="0C190C1C"/>
    <w:rsid w:val="0C27053B"/>
    <w:rsid w:val="0C4677B9"/>
    <w:rsid w:val="0C583F5B"/>
    <w:rsid w:val="0C5C22CB"/>
    <w:rsid w:val="0C646FEE"/>
    <w:rsid w:val="0C9536A4"/>
    <w:rsid w:val="0C9E0EB3"/>
    <w:rsid w:val="0CA67BE8"/>
    <w:rsid w:val="0CAA5DB8"/>
    <w:rsid w:val="0CBB5F35"/>
    <w:rsid w:val="0CFD49AC"/>
    <w:rsid w:val="0D0152F7"/>
    <w:rsid w:val="0D293516"/>
    <w:rsid w:val="0D525A5E"/>
    <w:rsid w:val="0D547BA0"/>
    <w:rsid w:val="0D55610D"/>
    <w:rsid w:val="0D7B246B"/>
    <w:rsid w:val="0D7F1AAC"/>
    <w:rsid w:val="0D8A0E25"/>
    <w:rsid w:val="0D900890"/>
    <w:rsid w:val="0D981CFD"/>
    <w:rsid w:val="0D9F6F61"/>
    <w:rsid w:val="0DA95765"/>
    <w:rsid w:val="0DC54963"/>
    <w:rsid w:val="0DF42712"/>
    <w:rsid w:val="0DF53118"/>
    <w:rsid w:val="0E004E89"/>
    <w:rsid w:val="0E3141B5"/>
    <w:rsid w:val="0E4559A2"/>
    <w:rsid w:val="0E5664AD"/>
    <w:rsid w:val="0E5A78ED"/>
    <w:rsid w:val="0E847637"/>
    <w:rsid w:val="0E855704"/>
    <w:rsid w:val="0EA44909"/>
    <w:rsid w:val="0EA97692"/>
    <w:rsid w:val="0EB07786"/>
    <w:rsid w:val="0EC705A6"/>
    <w:rsid w:val="0EC921D6"/>
    <w:rsid w:val="0ED4559A"/>
    <w:rsid w:val="0ED70A14"/>
    <w:rsid w:val="0EEF1009"/>
    <w:rsid w:val="0EF201EE"/>
    <w:rsid w:val="0EFD4959"/>
    <w:rsid w:val="0F030761"/>
    <w:rsid w:val="0F2B3A3C"/>
    <w:rsid w:val="0F304267"/>
    <w:rsid w:val="0F3E239B"/>
    <w:rsid w:val="0F7B13E0"/>
    <w:rsid w:val="0F7F7E66"/>
    <w:rsid w:val="0F813CF3"/>
    <w:rsid w:val="0F94163F"/>
    <w:rsid w:val="0F9C13A7"/>
    <w:rsid w:val="0FA54232"/>
    <w:rsid w:val="0FAC0D36"/>
    <w:rsid w:val="0FC4067E"/>
    <w:rsid w:val="0FD908E8"/>
    <w:rsid w:val="0FE254F5"/>
    <w:rsid w:val="0FE50129"/>
    <w:rsid w:val="0FFD5AE0"/>
    <w:rsid w:val="10086A34"/>
    <w:rsid w:val="100A6E0D"/>
    <w:rsid w:val="10114A6C"/>
    <w:rsid w:val="10191F83"/>
    <w:rsid w:val="103F50D9"/>
    <w:rsid w:val="10591C83"/>
    <w:rsid w:val="10691E0B"/>
    <w:rsid w:val="107A1732"/>
    <w:rsid w:val="10893C98"/>
    <w:rsid w:val="108D1AE5"/>
    <w:rsid w:val="10C82DF4"/>
    <w:rsid w:val="10D21F48"/>
    <w:rsid w:val="10DA0176"/>
    <w:rsid w:val="10FF1124"/>
    <w:rsid w:val="11063117"/>
    <w:rsid w:val="110B7642"/>
    <w:rsid w:val="112074D3"/>
    <w:rsid w:val="11313C76"/>
    <w:rsid w:val="116566C3"/>
    <w:rsid w:val="117A7D15"/>
    <w:rsid w:val="11A43596"/>
    <w:rsid w:val="11C36567"/>
    <w:rsid w:val="11CB0B08"/>
    <w:rsid w:val="11D11619"/>
    <w:rsid w:val="11E166DF"/>
    <w:rsid w:val="11F94E49"/>
    <w:rsid w:val="1210598F"/>
    <w:rsid w:val="12337BFE"/>
    <w:rsid w:val="12453FB9"/>
    <w:rsid w:val="127247C5"/>
    <w:rsid w:val="127D3430"/>
    <w:rsid w:val="12A27D5F"/>
    <w:rsid w:val="12B439F5"/>
    <w:rsid w:val="12BF7D7D"/>
    <w:rsid w:val="12CA76C8"/>
    <w:rsid w:val="12D42663"/>
    <w:rsid w:val="12E42F6B"/>
    <w:rsid w:val="12E75299"/>
    <w:rsid w:val="12E94B94"/>
    <w:rsid w:val="131124A1"/>
    <w:rsid w:val="131378F6"/>
    <w:rsid w:val="132F3A7E"/>
    <w:rsid w:val="13443C4F"/>
    <w:rsid w:val="139E3345"/>
    <w:rsid w:val="13BB4E4C"/>
    <w:rsid w:val="13C9003C"/>
    <w:rsid w:val="13D2020A"/>
    <w:rsid w:val="13F365FB"/>
    <w:rsid w:val="13FE7BE2"/>
    <w:rsid w:val="141D0D04"/>
    <w:rsid w:val="141D149F"/>
    <w:rsid w:val="141D5807"/>
    <w:rsid w:val="14284085"/>
    <w:rsid w:val="14494F44"/>
    <w:rsid w:val="146C0BE9"/>
    <w:rsid w:val="14863E4E"/>
    <w:rsid w:val="14895203"/>
    <w:rsid w:val="14AA4E78"/>
    <w:rsid w:val="14D06A0A"/>
    <w:rsid w:val="14EB28C9"/>
    <w:rsid w:val="151B5614"/>
    <w:rsid w:val="15265638"/>
    <w:rsid w:val="152B5594"/>
    <w:rsid w:val="152D74F4"/>
    <w:rsid w:val="152E0ED1"/>
    <w:rsid w:val="15324A24"/>
    <w:rsid w:val="153B0FB3"/>
    <w:rsid w:val="15446C11"/>
    <w:rsid w:val="154812A4"/>
    <w:rsid w:val="15493E1B"/>
    <w:rsid w:val="155618C3"/>
    <w:rsid w:val="155A4E9D"/>
    <w:rsid w:val="15700B00"/>
    <w:rsid w:val="1579355D"/>
    <w:rsid w:val="15D0428C"/>
    <w:rsid w:val="15D42B8E"/>
    <w:rsid w:val="15DD07B3"/>
    <w:rsid w:val="15E652F2"/>
    <w:rsid w:val="15F4219B"/>
    <w:rsid w:val="164B686B"/>
    <w:rsid w:val="16707F66"/>
    <w:rsid w:val="169E302D"/>
    <w:rsid w:val="169F1CD4"/>
    <w:rsid w:val="17134309"/>
    <w:rsid w:val="172C35F6"/>
    <w:rsid w:val="172E38E2"/>
    <w:rsid w:val="173E55EB"/>
    <w:rsid w:val="174B5906"/>
    <w:rsid w:val="174B5FB3"/>
    <w:rsid w:val="175A50B3"/>
    <w:rsid w:val="176E6034"/>
    <w:rsid w:val="1771179F"/>
    <w:rsid w:val="179669B8"/>
    <w:rsid w:val="17B059A2"/>
    <w:rsid w:val="17B573D7"/>
    <w:rsid w:val="17C850F0"/>
    <w:rsid w:val="18123F3A"/>
    <w:rsid w:val="181E43CF"/>
    <w:rsid w:val="1837475D"/>
    <w:rsid w:val="184325AE"/>
    <w:rsid w:val="185F1191"/>
    <w:rsid w:val="18685C78"/>
    <w:rsid w:val="186D7887"/>
    <w:rsid w:val="18781F9A"/>
    <w:rsid w:val="188625BA"/>
    <w:rsid w:val="18B26F50"/>
    <w:rsid w:val="18C27703"/>
    <w:rsid w:val="18D028DE"/>
    <w:rsid w:val="18DB4DE4"/>
    <w:rsid w:val="18DD3874"/>
    <w:rsid w:val="18E67685"/>
    <w:rsid w:val="18E94DEF"/>
    <w:rsid w:val="18F377E7"/>
    <w:rsid w:val="18F712F5"/>
    <w:rsid w:val="18FB1B10"/>
    <w:rsid w:val="1902099F"/>
    <w:rsid w:val="1913528D"/>
    <w:rsid w:val="19211E37"/>
    <w:rsid w:val="192B6BFF"/>
    <w:rsid w:val="192C66C9"/>
    <w:rsid w:val="193E6F6B"/>
    <w:rsid w:val="1950325C"/>
    <w:rsid w:val="196E6212"/>
    <w:rsid w:val="197D677A"/>
    <w:rsid w:val="198539A6"/>
    <w:rsid w:val="198A6826"/>
    <w:rsid w:val="19920D1C"/>
    <w:rsid w:val="199C6582"/>
    <w:rsid w:val="19C7058B"/>
    <w:rsid w:val="19DA605D"/>
    <w:rsid w:val="19E168D1"/>
    <w:rsid w:val="1A0D6C33"/>
    <w:rsid w:val="1A3847FC"/>
    <w:rsid w:val="1A596336"/>
    <w:rsid w:val="1A6462DD"/>
    <w:rsid w:val="1AA26111"/>
    <w:rsid w:val="1AD55D6C"/>
    <w:rsid w:val="1ADB4CF7"/>
    <w:rsid w:val="1B0F4A00"/>
    <w:rsid w:val="1B4C708E"/>
    <w:rsid w:val="1B5748EC"/>
    <w:rsid w:val="1B6C08D7"/>
    <w:rsid w:val="1B6C1D15"/>
    <w:rsid w:val="1B723441"/>
    <w:rsid w:val="1B94406C"/>
    <w:rsid w:val="1BA7571F"/>
    <w:rsid w:val="1BB26310"/>
    <w:rsid w:val="1BD922B7"/>
    <w:rsid w:val="1BE078AB"/>
    <w:rsid w:val="1BEE6191"/>
    <w:rsid w:val="1C012B0A"/>
    <w:rsid w:val="1C07712D"/>
    <w:rsid w:val="1C0B6A3C"/>
    <w:rsid w:val="1C0B75AE"/>
    <w:rsid w:val="1C2506EA"/>
    <w:rsid w:val="1C3D673D"/>
    <w:rsid w:val="1C4C6792"/>
    <w:rsid w:val="1C4C6B72"/>
    <w:rsid w:val="1C557C84"/>
    <w:rsid w:val="1C810166"/>
    <w:rsid w:val="1C931DD2"/>
    <w:rsid w:val="1CAA634F"/>
    <w:rsid w:val="1D045987"/>
    <w:rsid w:val="1D193DBA"/>
    <w:rsid w:val="1D201957"/>
    <w:rsid w:val="1D287768"/>
    <w:rsid w:val="1D2A0BF7"/>
    <w:rsid w:val="1D4A3D99"/>
    <w:rsid w:val="1D602B47"/>
    <w:rsid w:val="1D6B1BEB"/>
    <w:rsid w:val="1D8A24C9"/>
    <w:rsid w:val="1D9E393E"/>
    <w:rsid w:val="1DC048D2"/>
    <w:rsid w:val="1DD106C9"/>
    <w:rsid w:val="1DD73B7A"/>
    <w:rsid w:val="1DE27835"/>
    <w:rsid w:val="1DF405AC"/>
    <w:rsid w:val="1E251196"/>
    <w:rsid w:val="1EE169A0"/>
    <w:rsid w:val="1F291A52"/>
    <w:rsid w:val="1F4007EF"/>
    <w:rsid w:val="1F9F07F0"/>
    <w:rsid w:val="1FC1226B"/>
    <w:rsid w:val="1FC53B79"/>
    <w:rsid w:val="1FFD09F7"/>
    <w:rsid w:val="201A712E"/>
    <w:rsid w:val="20327516"/>
    <w:rsid w:val="20343059"/>
    <w:rsid w:val="20492A83"/>
    <w:rsid w:val="204D4C66"/>
    <w:rsid w:val="20535328"/>
    <w:rsid w:val="20551C79"/>
    <w:rsid w:val="20567BFD"/>
    <w:rsid w:val="20722B37"/>
    <w:rsid w:val="20B66FC2"/>
    <w:rsid w:val="20C37659"/>
    <w:rsid w:val="20FC6CD0"/>
    <w:rsid w:val="211829F9"/>
    <w:rsid w:val="211F10FF"/>
    <w:rsid w:val="212810C7"/>
    <w:rsid w:val="216732A4"/>
    <w:rsid w:val="21761788"/>
    <w:rsid w:val="218A086C"/>
    <w:rsid w:val="218C7484"/>
    <w:rsid w:val="21985E8F"/>
    <w:rsid w:val="21D9238A"/>
    <w:rsid w:val="22030DC9"/>
    <w:rsid w:val="220A1D41"/>
    <w:rsid w:val="22765B1B"/>
    <w:rsid w:val="227A4BF1"/>
    <w:rsid w:val="228248B7"/>
    <w:rsid w:val="22850F01"/>
    <w:rsid w:val="228621F8"/>
    <w:rsid w:val="229604CC"/>
    <w:rsid w:val="22A14EAE"/>
    <w:rsid w:val="22A34C69"/>
    <w:rsid w:val="22B17E94"/>
    <w:rsid w:val="22C33886"/>
    <w:rsid w:val="22D80BBF"/>
    <w:rsid w:val="22DB1FED"/>
    <w:rsid w:val="22E5565C"/>
    <w:rsid w:val="22E60EA9"/>
    <w:rsid w:val="22F47D5B"/>
    <w:rsid w:val="23065478"/>
    <w:rsid w:val="230F729A"/>
    <w:rsid w:val="231F3DCC"/>
    <w:rsid w:val="23374756"/>
    <w:rsid w:val="23504C5F"/>
    <w:rsid w:val="23561CCC"/>
    <w:rsid w:val="23744D98"/>
    <w:rsid w:val="239263BD"/>
    <w:rsid w:val="239A0A6C"/>
    <w:rsid w:val="239B2A30"/>
    <w:rsid w:val="23B97FED"/>
    <w:rsid w:val="23BE4267"/>
    <w:rsid w:val="23DE308C"/>
    <w:rsid w:val="2404692E"/>
    <w:rsid w:val="24061DA4"/>
    <w:rsid w:val="24063D04"/>
    <w:rsid w:val="24437003"/>
    <w:rsid w:val="24504A16"/>
    <w:rsid w:val="247154E0"/>
    <w:rsid w:val="247B112A"/>
    <w:rsid w:val="24921EF8"/>
    <w:rsid w:val="24A800B3"/>
    <w:rsid w:val="24AD13BC"/>
    <w:rsid w:val="252F21BC"/>
    <w:rsid w:val="252F4ADF"/>
    <w:rsid w:val="253F30D5"/>
    <w:rsid w:val="254361E3"/>
    <w:rsid w:val="25667E71"/>
    <w:rsid w:val="2578726F"/>
    <w:rsid w:val="257D28D4"/>
    <w:rsid w:val="259C7378"/>
    <w:rsid w:val="25AB4FB3"/>
    <w:rsid w:val="25AD1532"/>
    <w:rsid w:val="25F45B93"/>
    <w:rsid w:val="25F61579"/>
    <w:rsid w:val="260232A0"/>
    <w:rsid w:val="261A6951"/>
    <w:rsid w:val="261E041F"/>
    <w:rsid w:val="26231700"/>
    <w:rsid w:val="262F50CF"/>
    <w:rsid w:val="26453F12"/>
    <w:rsid w:val="265014C6"/>
    <w:rsid w:val="26853C24"/>
    <w:rsid w:val="26E42180"/>
    <w:rsid w:val="26E571A3"/>
    <w:rsid w:val="26F34A90"/>
    <w:rsid w:val="2716122D"/>
    <w:rsid w:val="272F51B9"/>
    <w:rsid w:val="27300F97"/>
    <w:rsid w:val="27361FA3"/>
    <w:rsid w:val="275C4B18"/>
    <w:rsid w:val="275D0CD2"/>
    <w:rsid w:val="276152C2"/>
    <w:rsid w:val="27615EC0"/>
    <w:rsid w:val="2783717A"/>
    <w:rsid w:val="278D4BF6"/>
    <w:rsid w:val="27983DD8"/>
    <w:rsid w:val="27987F03"/>
    <w:rsid w:val="27C279DC"/>
    <w:rsid w:val="27DC6D09"/>
    <w:rsid w:val="281748A3"/>
    <w:rsid w:val="2830440F"/>
    <w:rsid w:val="28515D55"/>
    <w:rsid w:val="2855480B"/>
    <w:rsid w:val="287874AE"/>
    <w:rsid w:val="28823523"/>
    <w:rsid w:val="289D671D"/>
    <w:rsid w:val="28A200A0"/>
    <w:rsid w:val="28B05ADF"/>
    <w:rsid w:val="28E77E9C"/>
    <w:rsid w:val="29172E35"/>
    <w:rsid w:val="29244ED8"/>
    <w:rsid w:val="294937E3"/>
    <w:rsid w:val="294E4C9C"/>
    <w:rsid w:val="298D464F"/>
    <w:rsid w:val="29A26998"/>
    <w:rsid w:val="29B9322C"/>
    <w:rsid w:val="29BA09A4"/>
    <w:rsid w:val="29C32332"/>
    <w:rsid w:val="29E1004A"/>
    <w:rsid w:val="29E74D4D"/>
    <w:rsid w:val="29F44530"/>
    <w:rsid w:val="2A0D5995"/>
    <w:rsid w:val="2A0D6A09"/>
    <w:rsid w:val="2A122394"/>
    <w:rsid w:val="2A1B71A4"/>
    <w:rsid w:val="2A2001C8"/>
    <w:rsid w:val="2A320D47"/>
    <w:rsid w:val="2A583DC3"/>
    <w:rsid w:val="2A84695A"/>
    <w:rsid w:val="2A8844EA"/>
    <w:rsid w:val="2AC6784B"/>
    <w:rsid w:val="2AC76497"/>
    <w:rsid w:val="2AC9396A"/>
    <w:rsid w:val="2AD67C45"/>
    <w:rsid w:val="2B063D54"/>
    <w:rsid w:val="2B5201CF"/>
    <w:rsid w:val="2B6133B3"/>
    <w:rsid w:val="2B916ACC"/>
    <w:rsid w:val="2B97208C"/>
    <w:rsid w:val="2BC62A1A"/>
    <w:rsid w:val="2BD02BCF"/>
    <w:rsid w:val="2BD423C2"/>
    <w:rsid w:val="2BE77523"/>
    <w:rsid w:val="2BFF3237"/>
    <w:rsid w:val="2C0C006E"/>
    <w:rsid w:val="2C1016DF"/>
    <w:rsid w:val="2C1D28F4"/>
    <w:rsid w:val="2C210631"/>
    <w:rsid w:val="2C267E66"/>
    <w:rsid w:val="2C7A0062"/>
    <w:rsid w:val="2C882415"/>
    <w:rsid w:val="2C9A2F70"/>
    <w:rsid w:val="2CAD125D"/>
    <w:rsid w:val="2CF50668"/>
    <w:rsid w:val="2D150558"/>
    <w:rsid w:val="2D246369"/>
    <w:rsid w:val="2D265BDE"/>
    <w:rsid w:val="2D2D7355"/>
    <w:rsid w:val="2D2E15B2"/>
    <w:rsid w:val="2D3A12C6"/>
    <w:rsid w:val="2D66598E"/>
    <w:rsid w:val="2D9019B4"/>
    <w:rsid w:val="2D9C2016"/>
    <w:rsid w:val="2D9D3F49"/>
    <w:rsid w:val="2DCA38C9"/>
    <w:rsid w:val="2E035A64"/>
    <w:rsid w:val="2E064FDE"/>
    <w:rsid w:val="2E0D423B"/>
    <w:rsid w:val="2E10006A"/>
    <w:rsid w:val="2E1B28E2"/>
    <w:rsid w:val="2E273ED7"/>
    <w:rsid w:val="2E3D3AE1"/>
    <w:rsid w:val="2E491400"/>
    <w:rsid w:val="2E5C7BF3"/>
    <w:rsid w:val="2E657E72"/>
    <w:rsid w:val="2E6E1CC8"/>
    <w:rsid w:val="2E942D32"/>
    <w:rsid w:val="2EA01CA0"/>
    <w:rsid w:val="2EAE0D31"/>
    <w:rsid w:val="2EAF1D91"/>
    <w:rsid w:val="2EB14810"/>
    <w:rsid w:val="2EDB4792"/>
    <w:rsid w:val="2EE00588"/>
    <w:rsid w:val="2F013F8F"/>
    <w:rsid w:val="2F175F0B"/>
    <w:rsid w:val="2F257925"/>
    <w:rsid w:val="2F44582C"/>
    <w:rsid w:val="2F475258"/>
    <w:rsid w:val="2F587898"/>
    <w:rsid w:val="2F667FDE"/>
    <w:rsid w:val="2F790CD9"/>
    <w:rsid w:val="2F84185B"/>
    <w:rsid w:val="2F9759D7"/>
    <w:rsid w:val="2F9D6904"/>
    <w:rsid w:val="2FBA530E"/>
    <w:rsid w:val="2FC15280"/>
    <w:rsid w:val="2FC34766"/>
    <w:rsid w:val="2FE62696"/>
    <w:rsid w:val="2FE82975"/>
    <w:rsid w:val="2FF04064"/>
    <w:rsid w:val="30017CE1"/>
    <w:rsid w:val="301F149E"/>
    <w:rsid w:val="304B44A6"/>
    <w:rsid w:val="304D70E5"/>
    <w:rsid w:val="305A54A8"/>
    <w:rsid w:val="30662DA7"/>
    <w:rsid w:val="30951FC9"/>
    <w:rsid w:val="30A82CC3"/>
    <w:rsid w:val="30B16CF4"/>
    <w:rsid w:val="30B264C5"/>
    <w:rsid w:val="30C6741C"/>
    <w:rsid w:val="30DC05D9"/>
    <w:rsid w:val="30EC17F3"/>
    <w:rsid w:val="312518EC"/>
    <w:rsid w:val="312939EA"/>
    <w:rsid w:val="312A78CA"/>
    <w:rsid w:val="31310D17"/>
    <w:rsid w:val="31477C81"/>
    <w:rsid w:val="317376F7"/>
    <w:rsid w:val="317618E8"/>
    <w:rsid w:val="319E02ED"/>
    <w:rsid w:val="31A7497A"/>
    <w:rsid w:val="31D81745"/>
    <w:rsid w:val="31DA6F5F"/>
    <w:rsid w:val="323C1BBC"/>
    <w:rsid w:val="323E09A2"/>
    <w:rsid w:val="3243626C"/>
    <w:rsid w:val="3247526D"/>
    <w:rsid w:val="324F4F36"/>
    <w:rsid w:val="326A3A1E"/>
    <w:rsid w:val="326C3B1F"/>
    <w:rsid w:val="328F5910"/>
    <w:rsid w:val="32A17D34"/>
    <w:rsid w:val="32A32E6B"/>
    <w:rsid w:val="32A8173E"/>
    <w:rsid w:val="32B667A9"/>
    <w:rsid w:val="32FA7688"/>
    <w:rsid w:val="32FC17FF"/>
    <w:rsid w:val="3303160B"/>
    <w:rsid w:val="33077203"/>
    <w:rsid w:val="331B0176"/>
    <w:rsid w:val="333406BB"/>
    <w:rsid w:val="334A3405"/>
    <w:rsid w:val="334F616D"/>
    <w:rsid w:val="3354165A"/>
    <w:rsid w:val="33693705"/>
    <w:rsid w:val="338F3959"/>
    <w:rsid w:val="3397158C"/>
    <w:rsid w:val="339C2039"/>
    <w:rsid w:val="33AA1794"/>
    <w:rsid w:val="33B3531E"/>
    <w:rsid w:val="33C63545"/>
    <w:rsid w:val="33D17BA6"/>
    <w:rsid w:val="33E34A3B"/>
    <w:rsid w:val="33EA677E"/>
    <w:rsid w:val="33FB012E"/>
    <w:rsid w:val="33FD5A39"/>
    <w:rsid w:val="340E1252"/>
    <w:rsid w:val="3430655A"/>
    <w:rsid w:val="34455B7C"/>
    <w:rsid w:val="34675044"/>
    <w:rsid w:val="34A90797"/>
    <w:rsid w:val="34CA59F6"/>
    <w:rsid w:val="34DE73DE"/>
    <w:rsid w:val="34F33502"/>
    <w:rsid w:val="3505298E"/>
    <w:rsid w:val="351C6522"/>
    <w:rsid w:val="35331013"/>
    <w:rsid w:val="35347222"/>
    <w:rsid w:val="35586964"/>
    <w:rsid w:val="35822D50"/>
    <w:rsid w:val="358648BA"/>
    <w:rsid w:val="35D73840"/>
    <w:rsid w:val="35DB7DA1"/>
    <w:rsid w:val="35EF6938"/>
    <w:rsid w:val="3613773D"/>
    <w:rsid w:val="362C50DC"/>
    <w:rsid w:val="363A2082"/>
    <w:rsid w:val="363B597B"/>
    <w:rsid w:val="363D1430"/>
    <w:rsid w:val="364C4C6B"/>
    <w:rsid w:val="36737AAC"/>
    <w:rsid w:val="367C1F3A"/>
    <w:rsid w:val="369356BB"/>
    <w:rsid w:val="369721DE"/>
    <w:rsid w:val="369C5795"/>
    <w:rsid w:val="36BB6C2C"/>
    <w:rsid w:val="36E2447C"/>
    <w:rsid w:val="36E4308A"/>
    <w:rsid w:val="36E878FE"/>
    <w:rsid w:val="37112D02"/>
    <w:rsid w:val="3717196A"/>
    <w:rsid w:val="37311E27"/>
    <w:rsid w:val="374F6A6C"/>
    <w:rsid w:val="3777566A"/>
    <w:rsid w:val="37830527"/>
    <w:rsid w:val="379D0114"/>
    <w:rsid w:val="37CA7C22"/>
    <w:rsid w:val="37EB2AE8"/>
    <w:rsid w:val="38207C83"/>
    <w:rsid w:val="38290EC9"/>
    <w:rsid w:val="382F6C32"/>
    <w:rsid w:val="38354BC7"/>
    <w:rsid w:val="38647259"/>
    <w:rsid w:val="388E6EC2"/>
    <w:rsid w:val="38A93348"/>
    <w:rsid w:val="38D17D0F"/>
    <w:rsid w:val="38D40C7D"/>
    <w:rsid w:val="38D848B8"/>
    <w:rsid w:val="38DA537A"/>
    <w:rsid w:val="38F973FC"/>
    <w:rsid w:val="390C6FD6"/>
    <w:rsid w:val="392C6309"/>
    <w:rsid w:val="392F2285"/>
    <w:rsid w:val="394A25E5"/>
    <w:rsid w:val="395420CA"/>
    <w:rsid w:val="3974101D"/>
    <w:rsid w:val="397C04D2"/>
    <w:rsid w:val="39817681"/>
    <w:rsid w:val="398F5C51"/>
    <w:rsid w:val="39AE7CAD"/>
    <w:rsid w:val="39C94622"/>
    <w:rsid w:val="39CA176F"/>
    <w:rsid w:val="39CA1EEA"/>
    <w:rsid w:val="39D352CF"/>
    <w:rsid w:val="39DB0061"/>
    <w:rsid w:val="39E3660D"/>
    <w:rsid w:val="39E4576F"/>
    <w:rsid w:val="3A0524E0"/>
    <w:rsid w:val="3A0A04FC"/>
    <w:rsid w:val="3A4140E9"/>
    <w:rsid w:val="3A4630C2"/>
    <w:rsid w:val="3A622F25"/>
    <w:rsid w:val="3A6E47AF"/>
    <w:rsid w:val="3A701F2B"/>
    <w:rsid w:val="3A7E7EE1"/>
    <w:rsid w:val="3A7F555B"/>
    <w:rsid w:val="3A8C6C1B"/>
    <w:rsid w:val="3AA17324"/>
    <w:rsid w:val="3ACB49EB"/>
    <w:rsid w:val="3ADC2ECE"/>
    <w:rsid w:val="3AE93002"/>
    <w:rsid w:val="3AEE5AFF"/>
    <w:rsid w:val="3B7E4D03"/>
    <w:rsid w:val="3B7F76DE"/>
    <w:rsid w:val="3B884D7A"/>
    <w:rsid w:val="3BB34984"/>
    <w:rsid w:val="3BC06526"/>
    <w:rsid w:val="3BC117AF"/>
    <w:rsid w:val="3BE03EF9"/>
    <w:rsid w:val="3C18149E"/>
    <w:rsid w:val="3C410A56"/>
    <w:rsid w:val="3C5035CC"/>
    <w:rsid w:val="3C661A07"/>
    <w:rsid w:val="3C821962"/>
    <w:rsid w:val="3C834D29"/>
    <w:rsid w:val="3C8872BE"/>
    <w:rsid w:val="3CBE1855"/>
    <w:rsid w:val="3CCC5155"/>
    <w:rsid w:val="3CD55FB0"/>
    <w:rsid w:val="3CDB3296"/>
    <w:rsid w:val="3CE135B1"/>
    <w:rsid w:val="3CE37BBF"/>
    <w:rsid w:val="3D1B465F"/>
    <w:rsid w:val="3D2229B6"/>
    <w:rsid w:val="3D3B0432"/>
    <w:rsid w:val="3D4F689A"/>
    <w:rsid w:val="3D630242"/>
    <w:rsid w:val="3D9557E1"/>
    <w:rsid w:val="3D964780"/>
    <w:rsid w:val="3DB47582"/>
    <w:rsid w:val="3DBF54F1"/>
    <w:rsid w:val="3DD23937"/>
    <w:rsid w:val="3DDE0ED6"/>
    <w:rsid w:val="3DFF77C8"/>
    <w:rsid w:val="3E2E1F4C"/>
    <w:rsid w:val="3E3A172B"/>
    <w:rsid w:val="3E463397"/>
    <w:rsid w:val="3E5361F6"/>
    <w:rsid w:val="3E626DFB"/>
    <w:rsid w:val="3E7302E1"/>
    <w:rsid w:val="3E820F84"/>
    <w:rsid w:val="3E937364"/>
    <w:rsid w:val="3EAA2C2A"/>
    <w:rsid w:val="3EB7358A"/>
    <w:rsid w:val="3ECF710F"/>
    <w:rsid w:val="3EEB206F"/>
    <w:rsid w:val="3EF52639"/>
    <w:rsid w:val="3EFC04B7"/>
    <w:rsid w:val="3F0129E4"/>
    <w:rsid w:val="3F060766"/>
    <w:rsid w:val="3F1B705B"/>
    <w:rsid w:val="3F1C571C"/>
    <w:rsid w:val="3F3102AE"/>
    <w:rsid w:val="3F487176"/>
    <w:rsid w:val="3F4D5DE0"/>
    <w:rsid w:val="3F56260F"/>
    <w:rsid w:val="3F732B9E"/>
    <w:rsid w:val="3F823945"/>
    <w:rsid w:val="3F8B3DB2"/>
    <w:rsid w:val="3F9662D6"/>
    <w:rsid w:val="3FAB6E80"/>
    <w:rsid w:val="3FB34A07"/>
    <w:rsid w:val="3FC655C5"/>
    <w:rsid w:val="3FCB4612"/>
    <w:rsid w:val="3FCD1D95"/>
    <w:rsid w:val="3FE001FD"/>
    <w:rsid w:val="3FF272F5"/>
    <w:rsid w:val="400C767A"/>
    <w:rsid w:val="402C2A7A"/>
    <w:rsid w:val="403A45FE"/>
    <w:rsid w:val="40460155"/>
    <w:rsid w:val="404A74D8"/>
    <w:rsid w:val="404B0F9D"/>
    <w:rsid w:val="40503B72"/>
    <w:rsid w:val="405241F9"/>
    <w:rsid w:val="406447D6"/>
    <w:rsid w:val="40654FD1"/>
    <w:rsid w:val="406613D3"/>
    <w:rsid w:val="40863100"/>
    <w:rsid w:val="40AD6767"/>
    <w:rsid w:val="40B23CD9"/>
    <w:rsid w:val="40C9713C"/>
    <w:rsid w:val="40D6633D"/>
    <w:rsid w:val="40DE47E2"/>
    <w:rsid w:val="411846B8"/>
    <w:rsid w:val="411D789C"/>
    <w:rsid w:val="41210AD7"/>
    <w:rsid w:val="413004A1"/>
    <w:rsid w:val="413145B9"/>
    <w:rsid w:val="414F2E1B"/>
    <w:rsid w:val="41513A08"/>
    <w:rsid w:val="415222AF"/>
    <w:rsid w:val="416B7100"/>
    <w:rsid w:val="41796A4C"/>
    <w:rsid w:val="41927852"/>
    <w:rsid w:val="419E1EA9"/>
    <w:rsid w:val="419F0A22"/>
    <w:rsid w:val="41A16DCF"/>
    <w:rsid w:val="41B407F9"/>
    <w:rsid w:val="41B87589"/>
    <w:rsid w:val="41B954DA"/>
    <w:rsid w:val="41BB34BE"/>
    <w:rsid w:val="41C45E72"/>
    <w:rsid w:val="41DD53D3"/>
    <w:rsid w:val="41EF2ED7"/>
    <w:rsid w:val="420A5083"/>
    <w:rsid w:val="420B23AE"/>
    <w:rsid w:val="423D60BE"/>
    <w:rsid w:val="424F54DB"/>
    <w:rsid w:val="4288526A"/>
    <w:rsid w:val="429A15D6"/>
    <w:rsid w:val="42B6423D"/>
    <w:rsid w:val="42D46CB6"/>
    <w:rsid w:val="42DE3678"/>
    <w:rsid w:val="42F153B5"/>
    <w:rsid w:val="42FF2476"/>
    <w:rsid w:val="43016690"/>
    <w:rsid w:val="435240CB"/>
    <w:rsid w:val="43667899"/>
    <w:rsid w:val="43757710"/>
    <w:rsid w:val="437C0D63"/>
    <w:rsid w:val="439A0BCC"/>
    <w:rsid w:val="43AE2DD1"/>
    <w:rsid w:val="43B136CA"/>
    <w:rsid w:val="43D7542F"/>
    <w:rsid w:val="43E8018E"/>
    <w:rsid w:val="43EA3D45"/>
    <w:rsid w:val="43EE656F"/>
    <w:rsid w:val="43F51287"/>
    <w:rsid w:val="43FE590A"/>
    <w:rsid w:val="44205AA4"/>
    <w:rsid w:val="44206108"/>
    <w:rsid w:val="442C55EC"/>
    <w:rsid w:val="445D4626"/>
    <w:rsid w:val="446C35BB"/>
    <w:rsid w:val="447B7511"/>
    <w:rsid w:val="447E324E"/>
    <w:rsid w:val="447F013C"/>
    <w:rsid w:val="44864360"/>
    <w:rsid w:val="44B26538"/>
    <w:rsid w:val="44C1284E"/>
    <w:rsid w:val="45024446"/>
    <w:rsid w:val="4508112E"/>
    <w:rsid w:val="45163000"/>
    <w:rsid w:val="45397114"/>
    <w:rsid w:val="45425EFF"/>
    <w:rsid w:val="455209F4"/>
    <w:rsid w:val="45611910"/>
    <w:rsid w:val="456F3DA3"/>
    <w:rsid w:val="45816387"/>
    <w:rsid w:val="45A56F55"/>
    <w:rsid w:val="45B701E5"/>
    <w:rsid w:val="45B83895"/>
    <w:rsid w:val="45BC245F"/>
    <w:rsid w:val="45C64E5A"/>
    <w:rsid w:val="45D207ED"/>
    <w:rsid w:val="45D85B19"/>
    <w:rsid w:val="45F453F0"/>
    <w:rsid w:val="46193F49"/>
    <w:rsid w:val="462A03D8"/>
    <w:rsid w:val="4635028E"/>
    <w:rsid w:val="46464EFD"/>
    <w:rsid w:val="46504FB7"/>
    <w:rsid w:val="4652246D"/>
    <w:rsid w:val="465C053E"/>
    <w:rsid w:val="467154A0"/>
    <w:rsid w:val="469730ED"/>
    <w:rsid w:val="46B16B4F"/>
    <w:rsid w:val="46B6237D"/>
    <w:rsid w:val="46C156E4"/>
    <w:rsid w:val="46C44F17"/>
    <w:rsid w:val="46CF2B6C"/>
    <w:rsid w:val="46DA0F3B"/>
    <w:rsid w:val="46E33717"/>
    <w:rsid w:val="46E6733A"/>
    <w:rsid w:val="46F7681E"/>
    <w:rsid w:val="46F94422"/>
    <w:rsid w:val="46FE2C1D"/>
    <w:rsid w:val="47293FFE"/>
    <w:rsid w:val="473A28E1"/>
    <w:rsid w:val="474252D5"/>
    <w:rsid w:val="476138FC"/>
    <w:rsid w:val="476159BB"/>
    <w:rsid w:val="47627AEC"/>
    <w:rsid w:val="476D3F1B"/>
    <w:rsid w:val="47765CBD"/>
    <w:rsid w:val="477B0718"/>
    <w:rsid w:val="477E7A68"/>
    <w:rsid w:val="47850CDF"/>
    <w:rsid w:val="479379DD"/>
    <w:rsid w:val="479973BF"/>
    <w:rsid w:val="47AD7472"/>
    <w:rsid w:val="47C53501"/>
    <w:rsid w:val="47C96444"/>
    <w:rsid w:val="47D913F7"/>
    <w:rsid w:val="47FB05A7"/>
    <w:rsid w:val="4800012F"/>
    <w:rsid w:val="481B48FD"/>
    <w:rsid w:val="48307330"/>
    <w:rsid w:val="483758B2"/>
    <w:rsid w:val="483B533A"/>
    <w:rsid w:val="483E13BE"/>
    <w:rsid w:val="48535E12"/>
    <w:rsid w:val="48A952A4"/>
    <w:rsid w:val="48DA5C8C"/>
    <w:rsid w:val="48EF499C"/>
    <w:rsid w:val="48F6533B"/>
    <w:rsid w:val="49373423"/>
    <w:rsid w:val="493B682B"/>
    <w:rsid w:val="494229E3"/>
    <w:rsid w:val="49540763"/>
    <w:rsid w:val="49666DE9"/>
    <w:rsid w:val="497655D3"/>
    <w:rsid w:val="49812966"/>
    <w:rsid w:val="49A94D44"/>
    <w:rsid w:val="49AF2F97"/>
    <w:rsid w:val="49D530C0"/>
    <w:rsid w:val="49DD3197"/>
    <w:rsid w:val="49E4193C"/>
    <w:rsid w:val="4A100D59"/>
    <w:rsid w:val="4A17479F"/>
    <w:rsid w:val="4A1B00EB"/>
    <w:rsid w:val="4A2C0E7C"/>
    <w:rsid w:val="4A5962EE"/>
    <w:rsid w:val="4A6E3329"/>
    <w:rsid w:val="4A8D37A1"/>
    <w:rsid w:val="4AB15893"/>
    <w:rsid w:val="4AD472F8"/>
    <w:rsid w:val="4AF4714E"/>
    <w:rsid w:val="4B28005F"/>
    <w:rsid w:val="4B317183"/>
    <w:rsid w:val="4B4A559D"/>
    <w:rsid w:val="4B4D4027"/>
    <w:rsid w:val="4B62129C"/>
    <w:rsid w:val="4B795080"/>
    <w:rsid w:val="4BA828F8"/>
    <w:rsid w:val="4BAD754E"/>
    <w:rsid w:val="4BB20ACF"/>
    <w:rsid w:val="4BC45864"/>
    <w:rsid w:val="4BD2461F"/>
    <w:rsid w:val="4BD5417A"/>
    <w:rsid w:val="4BDE1CCB"/>
    <w:rsid w:val="4BE02D8F"/>
    <w:rsid w:val="4BF36644"/>
    <w:rsid w:val="4BF456A4"/>
    <w:rsid w:val="4C1126E0"/>
    <w:rsid w:val="4C1377BD"/>
    <w:rsid w:val="4C3E41C4"/>
    <w:rsid w:val="4C4743EE"/>
    <w:rsid w:val="4C5233E1"/>
    <w:rsid w:val="4C616AD0"/>
    <w:rsid w:val="4C95153C"/>
    <w:rsid w:val="4CB50084"/>
    <w:rsid w:val="4CBE4771"/>
    <w:rsid w:val="4CC77244"/>
    <w:rsid w:val="4CE423B8"/>
    <w:rsid w:val="4CFB0450"/>
    <w:rsid w:val="4CFE1600"/>
    <w:rsid w:val="4D0714C3"/>
    <w:rsid w:val="4D126C55"/>
    <w:rsid w:val="4D1F1CDA"/>
    <w:rsid w:val="4D356496"/>
    <w:rsid w:val="4D357205"/>
    <w:rsid w:val="4D505767"/>
    <w:rsid w:val="4D7439D7"/>
    <w:rsid w:val="4D7D7022"/>
    <w:rsid w:val="4D930A5F"/>
    <w:rsid w:val="4D9776E3"/>
    <w:rsid w:val="4DA2169E"/>
    <w:rsid w:val="4DC058C2"/>
    <w:rsid w:val="4DC278B7"/>
    <w:rsid w:val="4DD163C4"/>
    <w:rsid w:val="4DE40AA0"/>
    <w:rsid w:val="4E017423"/>
    <w:rsid w:val="4E0C2C05"/>
    <w:rsid w:val="4E1A1BFB"/>
    <w:rsid w:val="4E255425"/>
    <w:rsid w:val="4E257EB6"/>
    <w:rsid w:val="4E337270"/>
    <w:rsid w:val="4E38208B"/>
    <w:rsid w:val="4E403AA0"/>
    <w:rsid w:val="4E755195"/>
    <w:rsid w:val="4E927FAC"/>
    <w:rsid w:val="4E9558F1"/>
    <w:rsid w:val="4E9766B0"/>
    <w:rsid w:val="4EAF0F65"/>
    <w:rsid w:val="4EB455C3"/>
    <w:rsid w:val="4EDB0B95"/>
    <w:rsid w:val="4EE55C89"/>
    <w:rsid w:val="4EF61168"/>
    <w:rsid w:val="4EFC4366"/>
    <w:rsid w:val="4F1C100E"/>
    <w:rsid w:val="4F291849"/>
    <w:rsid w:val="4F3402F1"/>
    <w:rsid w:val="4F3E6B78"/>
    <w:rsid w:val="4F40756F"/>
    <w:rsid w:val="4F486BCC"/>
    <w:rsid w:val="4F8D08CE"/>
    <w:rsid w:val="4F991061"/>
    <w:rsid w:val="4FB12B15"/>
    <w:rsid w:val="4FB602BE"/>
    <w:rsid w:val="4FBC63CC"/>
    <w:rsid w:val="4FCA5C40"/>
    <w:rsid w:val="4FCE57C2"/>
    <w:rsid w:val="4FD43546"/>
    <w:rsid w:val="4FDF25B5"/>
    <w:rsid w:val="4FEB6DF0"/>
    <w:rsid w:val="50451D33"/>
    <w:rsid w:val="504C3EFB"/>
    <w:rsid w:val="505C49B1"/>
    <w:rsid w:val="5068443D"/>
    <w:rsid w:val="506D201D"/>
    <w:rsid w:val="507315F6"/>
    <w:rsid w:val="507325BC"/>
    <w:rsid w:val="507B7905"/>
    <w:rsid w:val="509E68F9"/>
    <w:rsid w:val="50A37F85"/>
    <w:rsid w:val="50A50F46"/>
    <w:rsid w:val="50D17762"/>
    <w:rsid w:val="5108406A"/>
    <w:rsid w:val="51300BCD"/>
    <w:rsid w:val="51344677"/>
    <w:rsid w:val="51360506"/>
    <w:rsid w:val="51E151AD"/>
    <w:rsid w:val="51E1553C"/>
    <w:rsid w:val="522C3E3B"/>
    <w:rsid w:val="522C6930"/>
    <w:rsid w:val="522F578E"/>
    <w:rsid w:val="5235668F"/>
    <w:rsid w:val="523E5C55"/>
    <w:rsid w:val="5243789A"/>
    <w:rsid w:val="524A7F20"/>
    <w:rsid w:val="524D1AB9"/>
    <w:rsid w:val="52680505"/>
    <w:rsid w:val="529C0CEB"/>
    <w:rsid w:val="52B67696"/>
    <w:rsid w:val="52D7120C"/>
    <w:rsid w:val="52E94768"/>
    <w:rsid w:val="52EC5245"/>
    <w:rsid w:val="5315522D"/>
    <w:rsid w:val="53864F40"/>
    <w:rsid w:val="53973F0E"/>
    <w:rsid w:val="539E557B"/>
    <w:rsid w:val="53D55A10"/>
    <w:rsid w:val="53E56B31"/>
    <w:rsid w:val="53F57ABC"/>
    <w:rsid w:val="54170B1C"/>
    <w:rsid w:val="542804DB"/>
    <w:rsid w:val="54280F67"/>
    <w:rsid w:val="543B279F"/>
    <w:rsid w:val="54403F53"/>
    <w:rsid w:val="54453D01"/>
    <w:rsid w:val="54594390"/>
    <w:rsid w:val="546965F2"/>
    <w:rsid w:val="547347E1"/>
    <w:rsid w:val="54D32282"/>
    <w:rsid w:val="5505244A"/>
    <w:rsid w:val="55287D48"/>
    <w:rsid w:val="55470513"/>
    <w:rsid w:val="554F3C17"/>
    <w:rsid w:val="555525A6"/>
    <w:rsid w:val="55562F7F"/>
    <w:rsid w:val="55783DB4"/>
    <w:rsid w:val="5584078D"/>
    <w:rsid w:val="5584425F"/>
    <w:rsid w:val="558A1645"/>
    <w:rsid w:val="558F57A6"/>
    <w:rsid w:val="55A42E29"/>
    <w:rsid w:val="55AC517C"/>
    <w:rsid w:val="55B66418"/>
    <w:rsid w:val="55E36479"/>
    <w:rsid w:val="55E81E26"/>
    <w:rsid w:val="55EB47CA"/>
    <w:rsid w:val="563161FF"/>
    <w:rsid w:val="5638637B"/>
    <w:rsid w:val="565D2773"/>
    <w:rsid w:val="569D297A"/>
    <w:rsid w:val="56B35BCB"/>
    <w:rsid w:val="56D103E8"/>
    <w:rsid w:val="56F66B2D"/>
    <w:rsid w:val="56FF2811"/>
    <w:rsid w:val="57031F6C"/>
    <w:rsid w:val="57044C34"/>
    <w:rsid w:val="570569F2"/>
    <w:rsid w:val="570613B5"/>
    <w:rsid w:val="57181ABB"/>
    <w:rsid w:val="57285BCA"/>
    <w:rsid w:val="57355B18"/>
    <w:rsid w:val="57414440"/>
    <w:rsid w:val="574A595B"/>
    <w:rsid w:val="5752493F"/>
    <w:rsid w:val="57603B13"/>
    <w:rsid w:val="576E6F0D"/>
    <w:rsid w:val="5783112F"/>
    <w:rsid w:val="57835559"/>
    <w:rsid w:val="57C857DC"/>
    <w:rsid w:val="5821209E"/>
    <w:rsid w:val="58267738"/>
    <w:rsid w:val="582714D5"/>
    <w:rsid w:val="58321813"/>
    <w:rsid w:val="5883214E"/>
    <w:rsid w:val="589176C0"/>
    <w:rsid w:val="58AA2B0C"/>
    <w:rsid w:val="58B52C88"/>
    <w:rsid w:val="58CF1A3B"/>
    <w:rsid w:val="58D52BFE"/>
    <w:rsid w:val="59267C75"/>
    <w:rsid w:val="594533B1"/>
    <w:rsid w:val="595D76D5"/>
    <w:rsid w:val="5966552B"/>
    <w:rsid w:val="59713068"/>
    <w:rsid w:val="59987961"/>
    <w:rsid w:val="59B11431"/>
    <w:rsid w:val="59D14D64"/>
    <w:rsid w:val="59DE7150"/>
    <w:rsid w:val="5A052706"/>
    <w:rsid w:val="5A122358"/>
    <w:rsid w:val="5A2F623D"/>
    <w:rsid w:val="5A39166D"/>
    <w:rsid w:val="5A3F4881"/>
    <w:rsid w:val="5A43507D"/>
    <w:rsid w:val="5A62540A"/>
    <w:rsid w:val="5A713565"/>
    <w:rsid w:val="5A804F3E"/>
    <w:rsid w:val="5A8139EF"/>
    <w:rsid w:val="5ACA0FCB"/>
    <w:rsid w:val="5AD97BBA"/>
    <w:rsid w:val="5AE97B02"/>
    <w:rsid w:val="5B047391"/>
    <w:rsid w:val="5B1C6475"/>
    <w:rsid w:val="5B3E13F7"/>
    <w:rsid w:val="5B5821A4"/>
    <w:rsid w:val="5B591225"/>
    <w:rsid w:val="5B5A1A91"/>
    <w:rsid w:val="5B7D4713"/>
    <w:rsid w:val="5B84283A"/>
    <w:rsid w:val="5B8A1DF8"/>
    <w:rsid w:val="5B8A3A18"/>
    <w:rsid w:val="5BA217F8"/>
    <w:rsid w:val="5BAA30BC"/>
    <w:rsid w:val="5BAD692B"/>
    <w:rsid w:val="5BB43E83"/>
    <w:rsid w:val="5BBE212F"/>
    <w:rsid w:val="5BE84CCB"/>
    <w:rsid w:val="5BF12E0C"/>
    <w:rsid w:val="5BF53B68"/>
    <w:rsid w:val="5C0150E1"/>
    <w:rsid w:val="5C0524BB"/>
    <w:rsid w:val="5C27726F"/>
    <w:rsid w:val="5C5B6F22"/>
    <w:rsid w:val="5C5C6902"/>
    <w:rsid w:val="5C695AE1"/>
    <w:rsid w:val="5C7B68AE"/>
    <w:rsid w:val="5C892509"/>
    <w:rsid w:val="5CAE02EB"/>
    <w:rsid w:val="5CC81DD2"/>
    <w:rsid w:val="5CCC3978"/>
    <w:rsid w:val="5CCE6A74"/>
    <w:rsid w:val="5CDE7231"/>
    <w:rsid w:val="5CDF2FA1"/>
    <w:rsid w:val="5CE80077"/>
    <w:rsid w:val="5CEC29FC"/>
    <w:rsid w:val="5CFA5DDE"/>
    <w:rsid w:val="5D032C17"/>
    <w:rsid w:val="5D0353C8"/>
    <w:rsid w:val="5D060F99"/>
    <w:rsid w:val="5D1A3EB3"/>
    <w:rsid w:val="5D3A3C22"/>
    <w:rsid w:val="5D486F4A"/>
    <w:rsid w:val="5D5F09F9"/>
    <w:rsid w:val="5D703B21"/>
    <w:rsid w:val="5D716467"/>
    <w:rsid w:val="5D7762D7"/>
    <w:rsid w:val="5D854531"/>
    <w:rsid w:val="5D8D7332"/>
    <w:rsid w:val="5D9112F2"/>
    <w:rsid w:val="5D9A5E05"/>
    <w:rsid w:val="5DA96F3A"/>
    <w:rsid w:val="5DE12C09"/>
    <w:rsid w:val="5E013C4D"/>
    <w:rsid w:val="5E087C4F"/>
    <w:rsid w:val="5E1A6240"/>
    <w:rsid w:val="5E2C6BBE"/>
    <w:rsid w:val="5E395730"/>
    <w:rsid w:val="5E3A1464"/>
    <w:rsid w:val="5E553601"/>
    <w:rsid w:val="5E8C7151"/>
    <w:rsid w:val="5E9979E1"/>
    <w:rsid w:val="5EE80694"/>
    <w:rsid w:val="5EED526A"/>
    <w:rsid w:val="5EF31513"/>
    <w:rsid w:val="5F165F1A"/>
    <w:rsid w:val="5F185D41"/>
    <w:rsid w:val="5F3E04AE"/>
    <w:rsid w:val="5F425739"/>
    <w:rsid w:val="5F441CCC"/>
    <w:rsid w:val="5F9B700C"/>
    <w:rsid w:val="5FA65F20"/>
    <w:rsid w:val="5FB06CD3"/>
    <w:rsid w:val="5FBF7282"/>
    <w:rsid w:val="5FCA6EAC"/>
    <w:rsid w:val="5FD45DE7"/>
    <w:rsid w:val="5FE05F8E"/>
    <w:rsid w:val="5FE74C2A"/>
    <w:rsid w:val="5FF139D2"/>
    <w:rsid w:val="602000AD"/>
    <w:rsid w:val="605739E0"/>
    <w:rsid w:val="606A262B"/>
    <w:rsid w:val="60B12058"/>
    <w:rsid w:val="60B564B9"/>
    <w:rsid w:val="60B9298B"/>
    <w:rsid w:val="60D32C76"/>
    <w:rsid w:val="60D45EB2"/>
    <w:rsid w:val="60D74CA4"/>
    <w:rsid w:val="612A59B4"/>
    <w:rsid w:val="61410B47"/>
    <w:rsid w:val="61464A58"/>
    <w:rsid w:val="615B090C"/>
    <w:rsid w:val="618C6EEB"/>
    <w:rsid w:val="618D4527"/>
    <w:rsid w:val="61AA40F3"/>
    <w:rsid w:val="61BA0E6A"/>
    <w:rsid w:val="61DB22C0"/>
    <w:rsid w:val="6204732F"/>
    <w:rsid w:val="620F12EF"/>
    <w:rsid w:val="623910C5"/>
    <w:rsid w:val="625138FE"/>
    <w:rsid w:val="625249FB"/>
    <w:rsid w:val="625823A0"/>
    <w:rsid w:val="62584EC7"/>
    <w:rsid w:val="626B7AD8"/>
    <w:rsid w:val="627A5D1A"/>
    <w:rsid w:val="62C701E0"/>
    <w:rsid w:val="62D302AA"/>
    <w:rsid w:val="62F25972"/>
    <w:rsid w:val="62F76546"/>
    <w:rsid w:val="62FC2693"/>
    <w:rsid w:val="63174472"/>
    <w:rsid w:val="631E7E73"/>
    <w:rsid w:val="63273D37"/>
    <w:rsid w:val="63310001"/>
    <w:rsid w:val="63425FCD"/>
    <w:rsid w:val="635E280A"/>
    <w:rsid w:val="6375147A"/>
    <w:rsid w:val="638001BF"/>
    <w:rsid w:val="638E6C80"/>
    <w:rsid w:val="63951C85"/>
    <w:rsid w:val="63A717CD"/>
    <w:rsid w:val="63B142E8"/>
    <w:rsid w:val="63BE6D6E"/>
    <w:rsid w:val="63EB0D1E"/>
    <w:rsid w:val="63FC6727"/>
    <w:rsid w:val="64315E2D"/>
    <w:rsid w:val="64423913"/>
    <w:rsid w:val="647B65BD"/>
    <w:rsid w:val="6492438F"/>
    <w:rsid w:val="64AC3B52"/>
    <w:rsid w:val="64B422CC"/>
    <w:rsid w:val="64BF1C49"/>
    <w:rsid w:val="64D22985"/>
    <w:rsid w:val="64FE417D"/>
    <w:rsid w:val="65225EBF"/>
    <w:rsid w:val="653A58AB"/>
    <w:rsid w:val="65530869"/>
    <w:rsid w:val="65573888"/>
    <w:rsid w:val="65582545"/>
    <w:rsid w:val="656B0892"/>
    <w:rsid w:val="657B5355"/>
    <w:rsid w:val="65C536C3"/>
    <w:rsid w:val="65C95D52"/>
    <w:rsid w:val="65FF713D"/>
    <w:rsid w:val="662C4D7B"/>
    <w:rsid w:val="6645281B"/>
    <w:rsid w:val="6653744E"/>
    <w:rsid w:val="66654AE6"/>
    <w:rsid w:val="667A5992"/>
    <w:rsid w:val="66837D8F"/>
    <w:rsid w:val="669F407F"/>
    <w:rsid w:val="66AB1C8F"/>
    <w:rsid w:val="66C14BD2"/>
    <w:rsid w:val="66C501D9"/>
    <w:rsid w:val="66C73805"/>
    <w:rsid w:val="66CC091C"/>
    <w:rsid w:val="66FE294F"/>
    <w:rsid w:val="67104773"/>
    <w:rsid w:val="671D5AAF"/>
    <w:rsid w:val="672767E3"/>
    <w:rsid w:val="67467E90"/>
    <w:rsid w:val="675C2B33"/>
    <w:rsid w:val="679379F7"/>
    <w:rsid w:val="67D63F0E"/>
    <w:rsid w:val="67D75AFF"/>
    <w:rsid w:val="67D77756"/>
    <w:rsid w:val="67DD1AE2"/>
    <w:rsid w:val="67EF49F8"/>
    <w:rsid w:val="680807A1"/>
    <w:rsid w:val="680A34EB"/>
    <w:rsid w:val="680B6DDA"/>
    <w:rsid w:val="684F5008"/>
    <w:rsid w:val="688F4D5C"/>
    <w:rsid w:val="68917571"/>
    <w:rsid w:val="68AC57EB"/>
    <w:rsid w:val="68B32D6D"/>
    <w:rsid w:val="68BE4740"/>
    <w:rsid w:val="68BF2B22"/>
    <w:rsid w:val="68C667C4"/>
    <w:rsid w:val="68C83E80"/>
    <w:rsid w:val="68D43C8E"/>
    <w:rsid w:val="68E62F1A"/>
    <w:rsid w:val="68F84988"/>
    <w:rsid w:val="68FD23EA"/>
    <w:rsid w:val="691C7CB5"/>
    <w:rsid w:val="69243388"/>
    <w:rsid w:val="69266518"/>
    <w:rsid w:val="69320BCB"/>
    <w:rsid w:val="694C093A"/>
    <w:rsid w:val="695F63E9"/>
    <w:rsid w:val="696E2A99"/>
    <w:rsid w:val="69700B46"/>
    <w:rsid w:val="699A2921"/>
    <w:rsid w:val="69C40460"/>
    <w:rsid w:val="69CC4FC6"/>
    <w:rsid w:val="69D77405"/>
    <w:rsid w:val="6A346AB9"/>
    <w:rsid w:val="6A4E67A7"/>
    <w:rsid w:val="6A5763BA"/>
    <w:rsid w:val="6A721BF1"/>
    <w:rsid w:val="6A7309F2"/>
    <w:rsid w:val="6A793B34"/>
    <w:rsid w:val="6A7C340D"/>
    <w:rsid w:val="6A9D467C"/>
    <w:rsid w:val="6ACA0F83"/>
    <w:rsid w:val="6AD660F5"/>
    <w:rsid w:val="6AD8517E"/>
    <w:rsid w:val="6AF8569E"/>
    <w:rsid w:val="6B180F5E"/>
    <w:rsid w:val="6B1D1E9C"/>
    <w:rsid w:val="6B1D2E50"/>
    <w:rsid w:val="6B2C4ECF"/>
    <w:rsid w:val="6B2F2FFC"/>
    <w:rsid w:val="6B655B9C"/>
    <w:rsid w:val="6B75015F"/>
    <w:rsid w:val="6B771158"/>
    <w:rsid w:val="6B950596"/>
    <w:rsid w:val="6B9624CB"/>
    <w:rsid w:val="6BA71CE4"/>
    <w:rsid w:val="6BBB1D2B"/>
    <w:rsid w:val="6BCC31E1"/>
    <w:rsid w:val="6BDA0699"/>
    <w:rsid w:val="6BE06A1D"/>
    <w:rsid w:val="6BF74950"/>
    <w:rsid w:val="6C5B1979"/>
    <w:rsid w:val="6C5F369B"/>
    <w:rsid w:val="6C605B13"/>
    <w:rsid w:val="6C617E43"/>
    <w:rsid w:val="6C67423E"/>
    <w:rsid w:val="6C8B670D"/>
    <w:rsid w:val="6CAB5FF3"/>
    <w:rsid w:val="6CAC5629"/>
    <w:rsid w:val="6CAD4E65"/>
    <w:rsid w:val="6CBC7200"/>
    <w:rsid w:val="6CC56A83"/>
    <w:rsid w:val="6D002140"/>
    <w:rsid w:val="6D2D0E40"/>
    <w:rsid w:val="6D406D9C"/>
    <w:rsid w:val="6D542ABD"/>
    <w:rsid w:val="6D55097F"/>
    <w:rsid w:val="6D622D1E"/>
    <w:rsid w:val="6D660066"/>
    <w:rsid w:val="6D6E121B"/>
    <w:rsid w:val="6D7C611A"/>
    <w:rsid w:val="6D9F0900"/>
    <w:rsid w:val="6DD25759"/>
    <w:rsid w:val="6DF919AB"/>
    <w:rsid w:val="6E171887"/>
    <w:rsid w:val="6E2057B5"/>
    <w:rsid w:val="6E245738"/>
    <w:rsid w:val="6E330843"/>
    <w:rsid w:val="6E5412B3"/>
    <w:rsid w:val="6E625B9F"/>
    <w:rsid w:val="6E6C19EA"/>
    <w:rsid w:val="6E717A67"/>
    <w:rsid w:val="6E7F6388"/>
    <w:rsid w:val="6E877030"/>
    <w:rsid w:val="6E9856E1"/>
    <w:rsid w:val="6EA754C4"/>
    <w:rsid w:val="6EB67B1B"/>
    <w:rsid w:val="6EC40A1B"/>
    <w:rsid w:val="6EDE0CCD"/>
    <w:rsid w:val="6EEB59C7"/>
    <w:rsid w:val="6F207B5A"/>
    <w:rsid w:val="6F2470D1"/>
    <w:rsid w:val="6F274E37"/>
    <w:rsid w:val="6F2772CE"/>
    <w:rsid w:val="6F307347"/>
    <w:rsid w:val="6F3A3184"/>
    <w:rsid w:val="6F502E9F"/>
    <w:rsid w:val="6F5C7E74"/>
    <w:rsid w:val="6F6354B1"/>
    <w:rsid w:val="6F6D131B"/>
    <w:rsid w:val="6F775F8A"/>
    <w:rsid w:val="6F7E1147"/>
    <w:rsid w:val="6F922BBF"/>
    <w:rsid w:val="6FA92243"/>
    <w:rsid w:val="6FC70131"/>
    <w:rsid w:val="6FD82C0A"/>
    <w:rsid w:val="6FDA77F0"/>
    <w:rsid w:val="70094F74"/>
    <w:rsid w:val="700B24F2"/>
    <w:rsid w:val="703C495E"/>
    <w:rsid w:val="705E3632"/>
    <w:rsid w:val="707D49D9"/>
    <w:rsid w:val="707E1639"/>
    <w:rsid w:val="708A1C32"/>
    <w:rsid w:val="708A3FDC"/>
    <w:rsid w:val="70971C48"/>
    <w:rsid w:val="70B850FB"/>
    <w:rsid w:val="70C349BF"/>
    <w:rsid w:val="70D535D3"/>
    <w:rsid w:val="70F73AC8"/>
    <w:rsid w:val="710A49B6"/>
    <w:rsid w:val="711A1E86"/>
    <w:rsid w:val="711C1A7C"/>
    <w:rsid w:val="7140254E"/>
    <w:rsid w:val="71461804"/>
    <w:rsid w:val="714C439D"/>
    <w:rsid w:val="7158477D"/>
    <w:rsid w:val="715F7C41"/>
    <w:rsid w:val="716C11B5"/>
    <w:rsid w:val="71713A3A"/>
    <w:rsid w:val="718D03EB"/>
    <w:rsid w:val="718E233C"/>
    <w:rsid w:val="71914057"/>
    <w:rsid w:val="71983E5C"/>
    <w:rsid w:val="71BE509C"/>
    <w:rsid w:val="71D24BFC"/>
    <w:rsid w:val="71EB576C"/>
    <w:rsid w:val="71FC410C"/>
    <w:rsid w:val="721309F6"/>
    <w:rsid w:val="72501BE1"/>
    <w:rsid w:val="7254782E"/>
    <w:rsid w:val="727523E4"/>
    <w:rsid w:val="72884FEA"/>
    <w:rsid w:val="729D22CD"/>
    <w:rsid w:val="72AD5F7D"/>
    <w:rsid w:val="72B03A1F"/>
    <w:rsid w:val="72C02061"/>
    <w:rsid w:val="72D31886"/>
    <w:rsid w:val="72D46F10"/>
    <w:rsid w:val="72DE3B39"/>
    <w:rsid w:val="72FC0F1A"/>
    <w:rsid w:val="73121C10"/>
    <w:rsid w:val="731A0CE1"/>
    <w:rsid w:val="732455AE"/>
    <w:rsid w:val="732C76D1"/>
    <w:rsid w:val="73435E62"/>
    <w:rsid w:val="735C129A"/>
    <w:rsid w:val="737A68FF"/>
    <w:rsid w:val="737A7648"/>
    <w:rsid w:val="7396271B"/>
    <w:rsid w:val="73982EE3"/>
    <w:rsid w:val="73B92029"/>
    <w:rsid w:val="73C74CE9"/>
    <w:rsid w:val="73D46CCC"/>
    <w:rsid w:val="73E856E2"/>
    <w:rsid w:val="73F51896"/>
    <w:rsid w:val="73F966B8"/>
    <w:rsid w:val="73F966E9"/>
    <w:rsid w:val="74020A03"/>
    <w:rsid w:val="742A16BB"/>
    <w:rsid w:val="744A1F6C"/>
    <w:rsid w:val="74613D29"/>
    <w:rsid w:val="74650128"/>
    <w:rsid w:val="74860F21"/>
    <w:rsid w:val="749F0E8F"/>
    <w:rsid w:val="74A37BAC"/>
    <w:rsid w:val="74A64875"/>
    <w:rsid w:val="74C22B5C"/>
    <w:rsid w:val="74CB5704"/>
    <w:rsid w:val="74CF21AD"/>
    <w:rsid w:val="74D97023"/>
    <w:rsid w:val="74E14AFF"/>
    <w:rsid w:val="74F805F6"/>
    <w:rsid w:val="751669E2"/>
    <w:rsid w:val="751A00E9"/>
    <w:rsid w:val="7526044D"/>
    <w:rsid w:val="75401D7A"/>
    <w:rsid w:val="75491F96"/>
    <w:rsid w:val="75580651"/>
    <w:rsid w:val="75765CF8"/>
    <w:rsid w:val="758004D2"/>
    <w:rsid w:val="75866947"/>
    <w:rsid w:val="759424E2"/>
    <w:rsid w:val="759A1A80"/>
    <w:rsid w:val="759B4E4C"/>
    <w:rsid w:val="75AF7957"/>
    <w:rsid w:val="75BF05C4"/>
    <w:rsid w:val="75C51322"/>
    <w:rsid w:val="75E0570D"/>
    <w:rsid w:val="75E17217"/>
    <w:rsid w:val="760020BD"/>
    <w:rsid w:val="76034C92"/>
    <w:rsid w:val="76060E8D"/>
    <w:rsid w:val="76344463"/>
    <w:rsid w:val="76387D94"/>
    <w:rsid w:val="764A4844"/>
    <w:rsid w:val="765807D9"/>
    <w:rsid w:val="76653F7B"/>
    <w:rsid w:val="76726C9E"/>
    <w:rsid w:val="767C091F"/>
    <w:rsid w:val="76872A30"/>
    <w:rsid w:val="768A30EB"/>
    <w:rsid w:val="768F19CE"/>
    <w:rsid w:val="768F6C9B"/>
    <w:rsid w:val="76952476"/>
    <w:rsid w:val="76986202"/>
    <w:rsid w:val="76A96AAA"/>
    <w:rsid w:val="76E01A0A"/>
    <w:rsid w:val="76E87AE5"/>
    <w:rsid w:val="76EA4C08"/>
    <w:rsid w:val="76FA2EC3"/>
    <w:rsid w:val="76FE3899"/>
    <w:rsid w:val="7733227D"/>
    <w:rsid w:val="774C4479"/>
    <w:rsid w:val="774E7941"/>
    <w:rsid w:val="775741F4"/>
    <w:rsid w:val="77596C33"/>
    <w:rsid w:val="775D1D21"/>
    <w:rsid w:val="776835A2"/>
    <w:rsid w:val="77BB652B"/>
    <w:rsid w:val="77C328A0"/>
    <w:rsid w:val="77C90EA3"/>
    <w:rsid w:val="77DB1103"/>
    <w:rsid w:val="77EA51E6"/>
    <w:rsid w:val="78250421"/>
    <w:rsid w:val="783D55F3"/>
    <w:rsid w:val="78540DCF"/>
    <w:rsid w:val="785523C1"/>
    <w:rsid w:val="786A4461"/>
    <w:rsid w:val="786C7060"/>
    <w:rsid w:val="78892F12"/>
    <w:rsid w:val="78894629"/>
    <w:rsid w:val="788C76A0"/>
    <w:rsid w:val="7895428C"/>
    <w:rsid w:val="78A0247C"/>
    <w:rsid w:val="78A16C18"/>
    <w:rsid w:val="78D40BFD"/>
    <w:rsid w:val="78E04207"/>
    <w:rsid w:val="78ED3F3E"/>
    <w:rsid w:val="78EE6CE7"/>
    <w:rsid w:val="79336EFB"/>
    <w:rsid w:val="79355091"/>
    <w:rsid w:val="797B43E1"/>
    <w:rsid w:val="79843333"/>
    <w:rsid w:val="799610EC"/>
    <w:rsid w:val="799C1544"/>
    <w:rsid w:val="799C6DEE"/>
    <w:rsid w:val="79AB5802"/>
    <w:rsid w:val="79AE597F"/>
    <w:rsid w:val="79D92C2B"/>
    <w:rsid w:val="7A0E6478"/>
    <w:rsid w:val="7A175735"/>
    <w:rsid w:val="7A2A5A1E"/>
    <w:rsid w:val="7A6B13EE"/>
    <w:rsid w:val="7A901828"/>
    <w:rsid w:val="7A9E6EE4"/>
    <w:rsid w:val="7AA615FD"/>
    <w:rsid w:val="7AC223D0"/>
    <w:rsid w:val="7AC23851"/>
    <w:rsid w:val="7AC61DCF"/>
    <w:rsid w:val="7ADA22B2"/>
    <w:rsid w:val="7B0F43DA"/>
    <w:rsid w:val="7B242549"/>
    <w:rsid w:val="7B273D69"/>
    <w:rsid w:val="7B44414E"/>
    <w:rsid w:val="7B4932B8"/>
    <w:rsid w:val="7B4E3E88"/>
    <w:rsid w:val="7B5619FE"/>
    <w:rsid w:val="7B643DFC"/>
    <w:rsid w:val="7B69717C"/>
    <w:rsid w:val="7B744452"/>
    <w:rsid w:val="7B7609D3"/>
    <w:rsid w:val="7B9710DE"/>
    <w:rsid w:val="7BAB2D5B"/>
    <w:rsid w:val="7BB158E1"/>
    <w:rsid w:val="7BB71413"/>
    <w:rsid w:val="7BFA01B9"/>
    <w:rsid w:val="7C1D0FD2"/>
    <w:rsid w:val="7C266A72"/>
    <w:rsid w:val="7C330E57"/>
    <w:rsid w:val="7C3F026C"/>
    <w:rsid w:val="7C4C66BA"/>
    <w:rsid w:val="7C70536A"/>
    <w:rsid w:val="7C77014D"/>
    <w:rsid w:val="7C7C35ED"/>
    <w:rsid w:val="7C7E2278"/>
    <w:rsid w:val="7C821B85"/>
    <w:rsid w:val="7C9249B9"/>
    <w:rsid w:val="7C9E1B49"/>
    <w:rsid w:val="7CAA45E4"/>
    <w:rsid w:val="7CB01038"/>
    <w:rsid w:val="7CC230AE"/>
    <w:rsid w:val="7CC77A91"/>
    <w:rsid w:val="7CDD40FB"/>
    <w:rsid w:val="7CF65002"/>
    <w:rsid w:val="7CF951E4"/>
    <w:rsid w:val="7CFC5EA6"/>
    <w:rsid w:val="7D03114F"/>
    <w:rsid w:val="7D040985"/>
    <w:rsid w:val="7D3D4E4E"/>
    <w:rsid w:val="7D4153A2"/>
    <w:rsid w:val="7D4E6D89"/>
    <w:rsid w:val="7D554CFD"/>
    <w:rsid w:val="7D5B1656"/>
    <w:rsid w:val="7D8914E8"/>
    <w:rsid w:val="7D922646"/>
    <w:rsid w:val="7D9A205A"/>
    <w:rsid w:val="7DA05728"/>
    <w:rsid w:val="7DBD65C8"/>
    <w:rsid w:val="7DE52CEC"/>
    <w:rsid w:val="7DED0FFC"/>
    <w:rsid w:val="7DF21506"/>
    <w:rsid w:val="7DF7615C"/>
    <w:rsid w:val="7E071763"/>
    <w:rsid w:val="7E295AC3"/>
    <w:rsid w:val="7E3669A4"/>
    <w:rsid w:val="7E4B3A40"/>
    <w:rsid w:val="7E670B49"/>
    <w:rsid w:val="7E6E53C5"/>
    <w:rsid w:val="7E9920E4"/>
    <w:rsid w:val="7EED0E7D"/>
    <w:rsid w:val="7F2A1153"/>
    <w:rsid w:val="7F2F50A7"/>
    <w:rsid w:val="7F662A28"/>
    <w:rsid w:val="7F6A2279"/>
    <w:rsid w:val="7F736681"/>
    <w:rsid w:val="7F7E1DAE"/>
    <w:rsid w:val="7F8129AF"/>
    <w:rsid w:val="7FA054F7"/>
    <w:rsid w:val="7FA30B35"/>
    <w:rsid w:val="7FAF1572"/>
    <w:rsid w:val="7FCF74BD"/>
    <w:rsid w:val="7FD765F9"/>
    <w:rsid w:val="7FD93999"/>
    <w:rsid w:val="7FDD62D2"/>
    <w:rsid w:val="7FEB248A"/>
    <w:rsid w:val="7FEE17B3"/>
  </w:rsids>
  <m:mathPr>
    <m:mathFont m:val="Cambria Math"/>
    <m:brkBin m:val="before"/>
    <m:brkBinSub m:val="--"/>
    <m:smallFrac m:val="0"/>
    <m:dispDef/>
    <m:lMargin m:val="0"/>
    <m:rMargin m:val="0"/>
    <m:defJc m:val="centerGroup"/>
    <m:wrapIndent m:val="1440"/>
    <m:intLim m:val="subSup"/>
    <m:naryLim m:val="undOvr"/>
  </m:mathPr>
  <w:themeFontLang w:val="en-US" w:eastAsia="zh-CN" w:bidi="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600" w:firstLineChars="200"/>
    </w:pPr>
    <w:rPr>
      <w:rFonts w:eastAsia="仿宋_GB2312" w:asciiTheme="minorHAnsi" w:hAnsiTheme="minorHAnsi" w:cstheme="minorBidi"/>
      <w:kern w:val="2"/>
      <w:sz w:val="28"/>
      <w:szCs w:val="22"/>
      <w:lang w:val="en-US" w:eastAsia="zh-CN" w:bidi="ar-SA"/>
    </w:rPr>
  </w:style>
  <w:style w:type="paragraph" w:styleId="3">
    <w:name w:val="heading 1"/>
    <w:basedOn w:val="4"/>
    <w:next w:val="1"/>
    <w:link w:val="26"/>
    <w:qFormat/>
    <w:uiPriority w:val="0"/>
    <w:pPr>
      <w:keepNext/>
      <w:keepLines/>
      <w:spacing w:line="240" w:lineRule="auto"/>
      <w:ind w:firstLine="0" w:firstLineChars="0"/>
      <w:outlineLvl w:val="0"/>
    </w:pPr>
    <w:rPr>
      <w:rFonts w:ascii="Times New Roman" w:hAnsi="Times New Roman" w:eastAsia="仿宋" w:cs="Times New Roman"/>
      <w:b/>
      <w:kern w:val="44"/>
      <w:sz w:val="32"/>
    </w:rPr>
  </w:style>
  <w:style w:type="paragraph" w:styleId="2">
    <w:name w:val="heading 2"/>
    <w:basedOn w:val="1"/>
    <w:next w:val="1"/>
    <w:link w:val="23"/>
    <w:unhideWhenUsed/>
    <w:qFormat/>
    <w:uiPriority w:val="0"/>
    <w:pPr>
      <w:keepNext/>
      <w:keepLines/>
      <w:spacing w:line="240" w:lineRule="auto"/>
      <w:ind w:firstLine="0" w:firstLineChars="0"/>
      <w:outlineLvl w:val="1"/>
    </w:pPr>
    <w:rPr>
      <w:rFonts w:ascii="Times New Roman" w:hAnsi="Times New Roman" w:eastAsia="仿宋" w:cs="Times New Roman"/>
      <w:b/>
      <w:sz w:val="30"/>
      <w:szCs w:val="20"/>
    </w:rPr>
  </w:style>
  <w:style w:type="paragraph" w:styleId="5">
    <w:name w:val="heading 3"/>
    <w:basedOn w:val="1"/>
    <w:next w:val="1"/>
    <w:link w:val="24"/>
    <w:unhideWhenUsed/>
    <w:qFormat/>
    <w:uiPriority w:val="0"/>
    <w:pPr>
      <w:keepNext/>
      <w:keepLines/>
      <w:spacing w:line="240" w:lineRule="auto"/>
      <w:ind w:left="560" w:leftChars="200" w:firstLine="0" w:firstLineChars="0"/>
      <w:outlineLvl w:val="2"/>
    </w:pPr>
    <w:rPr>
      <w:rFonts w:ascii="Times New Roman" w:hAnsi="Times New Roman" w:eastAsia="仿宋" w:cs="Times New Roman"/>
      <w:b/>
    </w:rPr>
  </w:style>
  <w:style w:type="paragraph" w:styleId="6">
    <w:name w:val="heading 4"/>
    <w:basedOn w:val="1"/>
    <w:next w:val="1"/>
    <w:unhideWhenUsed/>
    <w:qFormat/>
    <w:uiPriority w:val="0"/>
    <w:pPr>
      <w:keepNext/>
      <w:keepLines/>
      <w:spacing w:line="240" w:lineRule="auto"/>
      <w:ind w:firstLine="0" w:firstLineChars="0"/>
      <w:outlineLvl w:val="3"/>
    </w:pPr>
    <w:rPr>
      <w:rFonts w:ascii="Arial" w:hAnsi="Arial" w:eastAsia="仿宋"/>
      <w:b/>
    </w:rPr>
  </w:style>
  <w:style w:type="character" w:default="1" w:styleId="19">
    <w:name w:val="Default Paragraph Font"/>
    <w:semiHidden/>
    <w:unhideWhenUsed/>
    <w:qFormat/>
    <w:uiPriority w:val="1"/>
  </w:style>
  <w:style w:type="table" w:default="1" w:styleId="21">
    <w:name w:val="Normal Table"/>
    <w:semiHidden/>
    <w:unhideWhenUsed/>
    <w:uiPriority w:val="99"/>
    <w:tblPr>
      <w:tblLayout w:type="fixed"/>
      <w:tblCellMar>
        <w:top w:w="0" w:type="dxa"/>
        <w:left w:w="108" w:type="dxa"/>
        <w:bottom w:w="0" w:type="dxa"/>
        <w:right w:w="108" w:type="dxa"/>
      </w:tblCellMar>
    </w:tblPr>
  </w:style>
  <w:style w:type="paragraph" w:styleId="4">
    <w:name w:val="Title"/>
    <w:basedOn w:val="1"/>
    <w:qFormat/>
    <w:uiPriority w:val="0"/>
  </w:style>
  <w:style w:type="paragraph" w:styleId="7">
    <w:name w:val="caption"/>
    <w:basedOn w:val="1"/>
    <w:next w:val="1"/>
    <w:qFormat/>
    <w:uiPriority w:val="0"/>
    <w:pPr>
      <w:spacing w:before="120" w:after="120"/>
      <w:jc w:val="center"/>
    </w:pPr>
    <w:rPr>
      <w:rFonts w:eastAsia="宋体"/>
      <w:b/>
      <w:bCs/>
      <w:sz w:val="24"/>
    </w:rPr>
  </w:style>
  <w:style w:type="paragraph" w:styleId="8">
    <w:name w:val="Document Map"/>
    <w:basedOn w:val="1"/>
    <w:qFormat/>
    <w:uiPriority w:val="0"/>
    <w:pPr>
      <w:shd w:val="clear" w:color="auto" w:fill="000080"/>
    </w:pPr>
    <w:rPr>
      <w:rFonts w:ascii="Times New Roman" w:hAnsi="Times New Roman" w:eastAsia="宋体" w:cs="Calibri"/>
      <w:sz w:val="24"/>
      <w:szCs w:val="24"/>
    </w:rPr>
  </w:style>
  <w:style w:type="paragraph" w:styleId="9">
    <w:name w:val="annotation text"/>
    <w:basedOn w:val="1"/>
    <w:qFormat/>
    <w:uiPriority w:val="0"/>
  </w:style>
  <w:style w:type="paragraph" w:styleId="10">
    <w:name w:val="Body Text"/>
    <w:basedOn w:val="1"/>
    <w:qFormat/>
    <w:uiPriority w:val="0"/>
    <w:pPr>
      <w:spacing w:after="120"/>
    </w:pPr>
  </w:style>
  <w:style w:type="paragraph" w:styleId="11">
    <w:name w:val="toc 3"/>
    <w:basedOn w:val="1"/>
    <w:next w:val="1"/>
    <w:qFormat/>
    <w:uiPriority w:val="0"/>
    <w:pPr>
      <w:ind w:left="560" w:leftChars="200" w:firstLine="0" w:firstLineChars="0"/>
    </w:pPr>
    <w:rPr>
      <w:rFonts w:ascii="Times New Roman" w:hAnsi="Times New Roman" w:eastAsia="仿宋" w:cs="Calibri"/>
      <w:szCs w:val="24"/>
    </w:rPr>
  </w:style>
  <w:style w:type="paragraph" w:styleId="12">
    <w:name w:val="footer"/>
    <w:basedOn w:val="1"/>
    <w:qFormat/>
    <w:uiPriority w:val="0"/>
    <w:pPr>
      <w:tabs>
        <w:tab w:val="center" w:pos="4153"/>
        <w:tab w:val="right" w:pos="8306"/>
      </w:tabs>
      <w:snapToGrid w:val="0"/>
    </w:pPr>
    <w:rPr>
      <w:sz w:val="18"/>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pPr>
    <w:rPr>
      <w:sz w:val="18"/>
    </w:rPr>
  </w:style>
  <w:style w:type="paragraph" w:styleId="14">
    <w:name w:val="toc 1"/>
    <w:basedOn w:val="1"/>
    <w:next w:val="1"/>
    <w:qFormat/>
    <w:uiPriority w:val="0"/>
    <w:pPr>
      <w:tabs>
        <w:tab w:val="right" w:leader="dot" w:pos="9015"/>
      </w:tabs>
      <w:ind w:firstLine="0" w:firstLineChars="0"/>
    </w:pPr>
    <w:rPr>
      <w:rFonts w:ascii="Calibri" w:hAnsi="Calibri" w:eastAsia="仿宋"/>
      <w:b/>
      <w:bCs/>
      <w:caps/>
      <w:sz w:val="32"/>
      <w:szCs w:val="20"/>
    </w:rPr>
  </w:style>
  <w:style w:type="paragraph" w:styleId="15">
    <w:name w:val="toc 4"/>
    <w:basedOn w:val="1"/>
    <w:next w:val="1"/>
    <w:qFormat/>
    <w:uiPriority w:val="0"/>
    <w:pPr>
      <w:ind w:left="1120" w:leftChars="400" w:firstLine="0" w:firstLineChars="0"/>
      <w:outlineLvl w:val="3"/>
    </w:pPr>
    <w:rPr>
      <w:rFonts w:eastAsia="仿宋"/>
      <w:b/>
    </w:rPr>
  </w:style>
  <w:style w:type="paragraph" w:styleId="16">
    <w:name w:val="toc 2"/>
    <w:basedOn w:val="1"/>
    <w:next w:val="1"/>
    <w:qFormat/>
    <w:uiPriority w:val="0"/>
    <w:pPr>
      <w:ind w:left="280" w:leftChars="100" w:firstLine="0" w:firstLineChars="0"/>
    </w:pPr>
  </w:style>
  <w:style w:type="paragraph" w:styleId="17">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hint="eastAsia" w:ascii="宋体" w:hAnsi="宋体" w:eastAsia="宋体" w:cs="Times New Roman"/>
      <w:kern w:val="0"/>
      <w:sz w:val="24"/>
      <w:szCs w:val="24"/>
    </w:rPr>
  </w:style>
  <w:style w:type="paragraph" w:styleId="18">
    <w:name w:val="Normal (Web)"/>
    <w:basedOn w:val="1"/>
    <w:qFormat/>
    <w:uiPriority w:val="0"/>
    <w:pPr>
      <w:spacing w:beforeAutospacing="1" w:afterAutospacing="1"/>
    </w:pPr>
    <w:rPr>
      <w:rFonts w:cs="Times New Roman"/>
      <w:kern w:val="0"/>
      <w:sz w:val="24"/>
    </w:rPr>
  </w:style>
  <w:style w:type="character" w:styleId="20">
    <w:name w:val="Hyperlink"/>
    <w:basedOn w:val="19"/>
    <w:qFormat/>
    <w:uiPriority w:val="0"/>
    <w:rPr>
      <w:color w:val="0000FF"/>
      <w:u w:val="single"/>
    </w:r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23">
    <w:name w:val="标题 2字符"/>
    <w:link w:val="2"/>
    <w:qFormat/>
    <w:uiPriority w:val="0"/>
    <w:rPr>
      <w:rFonts w:ascii="Times New Roman" w:hAnsi="Times New Roman" w:eastAsia="仿宋" w:cs="Times New Roman"/>
      <w:b/>
      <w:kern w:val="2"/>
      <w:sz w:val="28"/>
      <w:szCs w:val="22"/>
    </w:rPr>
  </w:style>
  <w:style w:type="character" w:customStyle="1" w:styleId="24">
    <w:name w:val="标题 3字符"/>
    <w:link w:val="5"/>
    <w:qFormat/>
    <w:uiPriority w:val="9"/>
    <w:rPr>
      <w:rFonts w:ascii="Times New Roman" w:hAnsi="Times New Roman" w:eastAsia="仿宋" w:cs="Times New Roman"/>
      <w:b/>
      <w:sz w:val="28"/>
    </w:rPr>
  </w:style>
  <w:style w:type="paragraph" w:customStyle="1" w:styleId="25">
    <w:name w:val="样式4"/>
    <w:basedOn w:val="1"/>
    <w:qFormat/>
    <w:uiPriority w:val="0"/>
    <w:rPr>
      <w:rFonts w:ascii="Times New Roman" w:hAnsi="Times New Roman" w:eastAsia="仿宋" w:cs="Calibri"/>
      <w:b/>
      <w:szCs w:val="21"/>
    </w:rPr>
  </w:style>
  <w:style w:type="character" w:customStyle="1" w:styleId="26">
    <w:name w:val="标题 1字符"/>
    <w:link w:val="3"/>
    <w:qFormat/>
    <w:uiPriority w:val="0"/>
    <w:rPr>
      <w:rFonts w:ascii="Times New Roman" w:hAnsi="Times New Roman" w:eastAsia="仿宋"/>
      <w:b/>
      <w:bCs/>
      <w:kern w:val="44"/>
      <w:sz w:val="32"/>
      <w:szCs w:val="44"/>
    </w:rPr>
  </w:style>
  <w:style w:type="paragraph" w:customStyle="1" w:styleId="27">
    <w:name w:val="样式1"/>
    <w:basedOn w:val="14"/>
    <w:qFormat/>
    <w:uiPriority w:val="0"/>
  </w:style>
  <w:style w:type="paragraph" w:customStyle="1" w:styleId="28">
    <w:name w:val="样式6"/>
    <w:basedOn w:val="14"/>
    <w:next w:val="27"/>
    <w:qFormat/>
    <w:uiPriority w:val="0"/>
    <w:pPr>
      <w:spacing w:line="240" w:lineRule="auto"/>
    </w:pPr>
  </w:style>
  <w:style w:type="paragraph" w:customStyle="1" w:styleId="29">
    <w:name w:val="样式7"/>
    <w:basedOn w:val="16"/>
    <w:qFormat/>
    <w:uiPriority w:val="0"/>
    <w:pPr>
      <w:ind w:left="0" w:leftChars="0" w:firstLine="480"/>
    </w:pPr>
  </w:style>
  <w:style w:type="paragraph" w:customStyle="1" w:styleId="30">
    <w:name w:val="样式8"/>
    <w:basedOn w:val="11"/>
    <w:qFormat/>
    <w:uiPriority w:val="0"/>
    <w:pPr>
      <w:spacing w:line="240" w:lineRule="auto"/>
      <w:ind w:left="0" w:leftChars="0" w:firstLine="480"/>
    </w:pPr>
  </w:style>
  <w:style w:type="paragraph" w:customStyle="1" w:styleId="31">
    <w:name w:val="样式9"/>
    <w:basedOn w:val="14"/>
    <w:qFormat/>
    <w:uiPriority w:val="0"/>
    <w:pPr>
      <w:spacing w:line="240" w:lineRule="auto"/>
    </w:pPr>
  </w:style>
  <w:style w:type="paragraph" w:customStyle="1" w:styleId="32">
    <w:name w:val="样式10"/>
    <w:basedOn w:val="16"/>
    <w:qFormat/>
    <w:uiPriority w:val="0"/>
    <w:pPr>
      <w:spacing w:line="240" w:lineRule="auto"/>
      <w:ind w:left="560"/>
    </w:pPr>
  </w:style>
  <w:style w:type="paragraph" w:customStyle="1" w:styleId="33">
    <w:name w:val="样式11"/>
    <w:basedOn w:val="11"/>
    <w:qFormat/>
    <w:uiPriority w:val="0"/>
    <w:pPr>
      <w:spacing w:line="240" w:lineRule="auto"/>
      <w:ind w:left="1120"/>
    </w:pPr>
  </w:style>
  <w:style w:type="paragraph" w:customStyle="1" w:styleId="34">
    <w:name w:val="样式12"/>
    <w:basedOn w:val="15"/>
    <w:qFormat/>
    <w:uiPriority w:val="0"/>
    <w:pPr>
      <w:spacing w:line="240" w:lineRule="auto"/>
      <w:ind w:left="1680" w:leftChars="600"/>
    </w:pPr>
  </w:style>
  <w:style w:type="paragraph" w:customStyle="1" w:styleId="35">
    <w:name w:val="样式13"/>
    <w:basedOn w:val="6"/>
    <w:qFormat/>
    <w:uiPriority w:val="0"/>
    <w:pPr>
      <w:ind w:left="560" w:leftChars="200"/>
    </w:pPr>
  </w:style>
  <w:style w:type="paragraph" w:customStyle="1" w:styleId="36">
    <w:name w:val="图表标题"/>
    <w:basedOn w:val="37"/>
    <w:qFormat/>
    <w:uiPriority w:val="0"/>
    <w:rPr>
      <w:b/>
      <w:sz w:val="24"/>
    </w:rPr>
  </w:style>
  <w:style w:type="paragraph" w:customStyle="1" w:styleId="37">
    <w:name w:val="表格内容"/>
    <w:basedOn w:val="1"/>
    <w:qFormat/>
    <w:uiPriority w:val="0"/>
    <w:pPr>
      <w:spacing w:line="240" w:lineRule="auto"/>
      <w:ind w:firstLine="0" w:firstLineChars="0"/>
      <w:jc w:val="center"/>
    </w:pPr>
    <w:rPr>
      <w:sz w:val="21"/>
    </w:rPr>
  </w:style>
  <w:style w:type="paragraph" w:customStyle="1" w:styleId="38">
    <w:name w:val="图标标题1"/>
    <w:basedOn w:val="1"/>
    <w:next w:val="1"/>
    <w:qFormat/>
    <w:uiPriority w:val="0"/>
    <w:pPr>
      <w:jc w:val="center"/>
    </w:pPr>
    <w:rPr>
      <w:rFonts w:cs="Times New Roman"/>
      <w:bCs/>
      <w:kern w:val="44"/>
      <w:sz w:val="24"/>
      <w:szCs w:val="44"/>
    </w:rPr>
  </w:style>
  <w:style w:type="paragraph" w:customStyle="1" w:styleId="39">
    <w:name w:val="首行缩进"/>
    <w:basedOn w:val="1"/>
    <w:qFormat/>
    <w:uiPriority w:val="0"/>
    <w:pPr>
      <w:snapToGrid w:val="0"/>
      <w:ind w:firstLine="560"/>
    </w:pPr>
    <w:rPr>
      <w:rFonts w:ascii="宋体" w:cs="宋体"/>
      <w:szCs w:val="20"/>
    </w:rPr>
  </w:style>
  <w:style w:type="paragraph" w:customStyle="1" w:styleId="40">
    <w:name w:val="正文居中"/>
    <w:basedOn w:val="1"/>
    <w:qFormat/>
    <w:uiPriority w:val="0"/>
    <w:pPr>
      <w:jc w:val="center"/>
    </w:pPr>
    <w:rPr>
      <w:rFonts w:ascii="宋体"/>
      <w:szCs w:val="20"/>
    </w:rPr>
  </w:style>
  <w:style w:type="paragraph" w:customStyle="1" w:styleId="41">
    <w:name w:val="首行缩进6"/>
    <w:basedOn w:val="1"/>
    <w:qFormat/>
    <w:uiPriority w:val="0"/>
    <w:pPr>
      <w:ind w:firstLine="1644"/>
    </w:pPr>
    <w:rPr>
      <w:rFonts w:ascii="宋体" w:cs="宋体"/>
      <w:szCs w:val="20"/>
    </w:rPr>
  </w:style>
  <w:style w:type="paragraph" w:customStyle="1" w:styleId="42">
    <w:name w:val="填表4小中单倍行距"/>
    <w:basedOn w:val="1"/>
    <w:qFormat/>
    <w:uiPriority w:val="0"/>
    <w:pPr>
      <w:snapToGrid w:val="0"/>
      <w:jc w:val="center"/>
    </w:pPr>
    <w:rPr>
      <w:rFonts w:ascii="宋体" w:cs="宋体"/>
      <w:sz w:val="24"/>
      <w:szCs w:val="20"/>
    </w:rPr>
  </w:style>
  <w:style w:type="paragraph" w:customStyle="1" w:styleId="43">
    <w:name w:val="填表5中"/>
    <w:basedOn w:val="1"/>
    <w:next w:val="1"/>
    <w:qFormat/>
    <w:uiPriority w:val="0"/>
    <w:pPr>
      <w:jc w:val="center"/>
    </w:pPr>
    <w:rPr>
      <w:rFonts w:ascii="宋体" w:hAnsi="Calibri" w:cs="黑体"/>
      <w:szCs w:val="21"/>
    </w:rPr>
  </w:style>
  <w:style w:type="paragraph" w:customStyle="1" w:styleId="44">
    <w:name w:val="段落1"/>
    <w:basedOn w:val="1"/>
    <w:qFormat/>
    <w:uiPriority w:val="0"/>
    <w:pPr>
      <w:spacing w:line="480" w:lineRule="exact"/>
      <w:ind w:firstLine="200"/>
    </w:pPr>
    <w:rPr>
      <w:rFonts w:ascii="Times New Roman" w:hAnsi="Times New Roman" w:eastAsia="楷体_GB2312"/>
      <w:spacing w:val="6"/>
      <w:szCs w:val="24"/>
    </w:rPr>
  </w:style>
  <w:style w:type="paragraph" w:customStyle="1" w:styleId="45">
    <w:name w:val="样式 红色 首行缩进:  2 字符"/>
    <w:basedOn w:val="1"/>
    <w:qFormat/>
    <w:uiPriority w:val="0"/>
    <w:pPr>
      <w:adjustRightInd w:val="0"/>
      <w:snapToGrid w:val="0"/>
      <w:ind w:firstLine="480"/>
    </w:pPr>
    <w:rPr>
      <w:rFonts w:cs="宋体"/>
      <w:sz w:val="24"/>
      <w:szCs w:val="20"/>
    </w:rPr>
  </w:style>
  <w:style w:type="paragraph" w:customStyle="1" w:styleId="46">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47">
    <w:name w:val="样式111"/>
    <w:qFormat/>
    <w:uiPriority w:val="0"/>
    <w:pPr>
      <w:adjustRightInd w:val="0"/>
      <w:snapToGrid w:val="0"/>
      <w:jc w:val="both"/>
    </w:pPr>
    <w:rPr>
      <w:rFonts w:ascii="宋体" w:hAnsi="Times New Roman" w:eastAsia="宋体" w:cs="Times New Roman"/>
      <w:sz w:val="21"/>
      <w:lang w:val="en-US" w:eastAsia="zh-CN" w:bidi="ar-SA"/>
    </w:rPr>
  </w:style>
  <w:style w:type="paragraph" w:customStyle="1" w:styleId="48">
    <w:name w:val="报告"/>
    <w:basedOn w:val="1"/>
    <w:qFormat/>
    <w:uiPriority w:val="0"/>
    <w:pPr>
      <w:adjustRightInd w:val="0"/>
      <w:ind w:firstLine="505"/>
      <w:textAlignment w:val="center"/>
    </w:pPr>
    <w:rPr>
      <w:rFonts w:ascii="TimesNewRoman" w:hAnsi="TimesNewRoman"/>
      <w:kern w:val="0"/>
      <w:sz w:val="24"/>
      <w:szCs w:val="20"/>
    </w:rPr>
  </w:style>
  <w:style w:type="paragraph" w:customStyle="1" w:styleId="49">
    <w:name w:val="报告表格"/>
    <w:basedOn w:val="1"/>
    <w:qFormat/>
    <w:uiPriority w:val="0"/>
    <w:pPr>
      <w:autoSpaceDE w:val="0"/>
      <w:autoSpaceDN w:val="0"/>
      <w:adjustRightInd w:val="0"/>
      <w:spacing w:before="40" w:after="40"/>
      <w:jc w:val="center"/>
      <w:textAlignment w:val="bottom"/>
    </w:pPr>
    <w:rPr>
      <w:kern w:val="0"/>
      <w:szCs w:val="20"/>
    </w:rPr>
  </w:style>
  <w:style w:type="character" w:customStyle="1" w:styleId="50">
    <w:name w:val="nowrap"/>
    <w:basedOn w:val="19"/>
    <w:qFormat/>
    <w:uiPriority w:val="0"/>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12.jpeg"/><Relationship Id="rId23" Type="http://schemas.openxmlformats.org/officeDocument/2006/relationships/image" Target="media/image11.jpe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jpeg"/><Relationship Id="rId16" Type="http://schemas.openxmlformats.org/officeDocument/2006/relationships/image" Target="media/image4.wmf"/><Relationship Id="rId15" Type="http://schemas.openxmlformats.org/officeDocument/2006/relationships/image" Target="media/image3.wmf"/><Relationship Id="rId14" Type="http://schemas.openxmlformats.org/officeDocument/2006/relationships/oleObject" Target="embeddings/oleObject1.bin"/><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45</Pages>
  <Words>3254</Words>
  <Characters>18549</Characters>
  <Lines>154</Lines>
  <Paragraphs>43</Paragraphs>
  <TotalTime>1</TotalTime>
  <ScaleCrop>false</ScaleCrop>
  <LinksUpToDate>false</LinksUpToDate>
  <CharactersWithSpaces>21760</CharactersWithSpaces>
  <Application>WPS Office_10.1.0.7469_F1E327BC-269C-435d-A152-05C5408002CA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2018-11-01T02:03:00Z</dcterms:created>
  <dc:creator>Administrator</dc:creator>
  <cp:lastModifiedBy>小小慢慢長</cp:lastModifiedBy>
  <cp:lastPrinted>2018-06-08T00:20:00Z</cp:lastPrinted>
  <dcterms:modified xsi:type="dcterms:W3CDTF">2018-11-26T11:46:17Z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2052-10.1.0.7469</vt:lpwstr>
  </property>
</Properties>
</file>